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8C7C" w14:textId="77777777" w:rsidR="004F44E9" w:rsidRDefault="004F44E9" w:rsidP="005025AB">
      <w:pPr>
        <w:pStyle w:val="Titolo"/>
      </w:pPr>
      <w:r>
        <w:t xml:space="preserve"> Whistleblower</w:t>
      </w:r>
    </w:p>
    <w:p w14:paraId="1D678C7D" w14:textId="77777777" w:rsidR="004F44E9" w:rsidRPr="004F44E9" w:rsidRDefault="004F44E9" w:rsidP="004F44E9">
      <w:pPr>
        <w:autoSpaceDE w:val="0"/>
        <w:autoSpaceDN w:val="0"/>
        <w:adjustRightInd w:val="0"/>
        <w:spacing w:after="0" w:line="240" w:lineRule="auto"/>
        <w:rPr>
          <w:rFonts w:ascii="Garamond" w:hAnsi="Garamond" w:cs="Garamond"/>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00"/>
      </w:tblGrid>
      <w:tr w:rsidR="004F44E9" w:rsidRPr="004F44E9" w14:paraId="1D678C7F" w14:textId="77777777">
        <w:trPr>
          <w:trHeight w:val="695"/>
        </w:trPr>
        <w:tc>
          <w:tcPr>
            <w:tcW w:w="9000" w:type="dxa"/>
          </w:tcPr>
          <w:p w14:paraId="1D678C7E" w14:textId="7228874D" w:rsidR="004F44E9" w:rsidRPr="005025AB" w:rsidRDefault="004F44E9" w:rsidP="00946579">
            <w:pPr>
              <w:rPr>
                <w:sz w:val="36"/>
                <w:szCs w:val="36"/>
              </w:rPr>
            </w:pPr>
            <w:r w:rsidRPr="005025AB">
              <w:rPr>
                <w:sz w:val="36"/>
                <w:szCs w:val="36"/>
              </w:rPr>
              <w:t xml:space="preserve">Protocollo operativo ed organizzativo per la gestione delle segnalazioni di condotte illecite </w:t>
            </w:r>
            <w:r w:rsidR="005025AB">
              <w:rPr>
                <w:sz w:val="36"/>
                <w:szCs w:val="36"/>
              </w:rPr>
              <w:t xml:space="preserve">operate </w:t>
            </w:r>
            <w:r w:rsidRPr="005025AB">
              <w:rPr>
                <w:sz w:val="36"/>
                <w:szCs w:val="36"/>
              </w:rPr>
              <w:t>da</w:t>
            </w:r>
            <w:r w:rsidR="005025AB">
              <w:rPr>
                <w:sz w:val="36"/>
                <w:szCs w:val="36"/>
              </w:rPr>
              <w:t>l</w:t>
            </w:r>
            <w:r w:rsidRPr="005025AB">
              <w:rPr>
                <w:sz w:val="36"/>
                <w:szCs w:val="36"/>
              </w:rPr>
              <w:t xml:space="preserve"> dipendente</w:t>
            </w:r>
            <w:r w:rsidR="005025AB">
              <w:rPr>
                <w:sz w:val="36"/>
                <w:szCs w:val="36"/>
              </w:rPr>
              <w:t xml:space="preserve"> o</w:t>
            </w:r>
            <w:r w:rsidR="009952E8" w:rsidRPr="005025AB">
              <w:rPr>
                <w:sz w:val="36"/>
                <w:szCs w:val="36"/>
              </w:rPr>
              <w:t xml:space="preserve"> </w:t>
            </w:r>
            <w:r w:rsidR="005025AB">
              <w:rPr>
                <w:sz w:val="36"/>
                <w:szCs w:val="36"/>
              </w:rPr>
              <w:t>da</w:t>
            </w:r>
            <w:r w:rsidR="00F725AE" w:rsidRPr="005025AB">
              <w:rPr>
                <w:sz w:val="36"/>
                <w:szCs w:val="36"/>
              </w:rPr>
              <w:t xml:space="preserve">i </w:t>
            </w:r>
            <w:r w:rsidR="003E488E" w:rsidRPr="005025AB">
              <w:rPr>
                <w:sz w:val="36"/>
                <w:szCs w:val="36"/>
              </w:rPr>
              <w:t xml:space="preserve">lavoratori e collaboratori delle imprese fornitrici di beni o servizi e che realizzano opere in favore </w:t>
            </w:r>
            <w:r w:rsidR="00B164C5">
              <w:rPr>
                <w:sz w:val="36"/>
                <w:szCs w:val="36"/>
              </w:rPr>
              <w:t>di Andalo Gestioni SRL</w:t>
            </w:r>
          </w:p>
        </w:tc>
      </w:tr>
    </w:tbl>
    <w:p w14:paraId="1D678C80" w14:textId="77777777" w:rsidR="005025AB" w:rsidRDefault="005025AB" w:rsidP="004F44E9"/>
    <w:p w14:paraId="1D678C81" w14:textId="77777777" w:rsidR="005025AB" w:rsidRDefault="005025AB" w:rsidP="005025AB">
      <w:r>
        <w:br w:type="page"/>
      </w:r>
    </w:p>
    <w:p w14:paraId="1D678C82" w14:textId="77777777" w:rsidR="004F44E9" w:rsidRDefault="004F44E9" w:rsidP="004F44E9"/>
    <w:sdt>
      <w:sdtPr>
        <w:rPr>
          <w:rFonts w:asciiTheme="minorHAnsi" w:eastAsiaTheme="minorHAnsi" w:hAnsiTheme="minorHAnsi" w:cstheme="minorBidi"/>
          <w:b w:val="0"/>
          <w:bCs w:val="0"/>
          <w:color w:val="auto"/>
          <w:sz w:val="22"/>
          <w:szCs w:val="22"/>
          <w:lang w:eastAsia="en-US"/>
        </w:rPr>
        <w:id w:val="525368590"/>
        <w:docPartObj>
          <w:docPartGallery w:val="Table of Contents"/>
          <w:docPartUnique/>
        </w:docPartObj>
      </w:sdtPr>
      <w:sdtEndPr/>
      <w:sdtContent>
        <w:p w14:paraId="1D678C83" w14:textId="77777777" w:rsidR="009952E8" w:rsidRDefault="009952E8">
          <w:pPr>
            <w:pStyle w:val="Titolosommario"/>
          </w:pPr>
          <w:r>
            <w:t>Sommario</w:t>
          </w:r>
        </w:p>
        <w:p w14:paraId="4068C67C" w14:textId="3499A44A" w:rsidR="00677F35" w:rsidRDefault="009952E8">
          <w:pPr>
            <w:pStyle w:val="Sommario1"/>
            <w:tabs>
              <w:tab w:val="right" w:leader="dot" w:pos="9628"/>
            </w:tabs>
            <w:rPr>
              <w:rFonts w:eastAsiaTheme="minorEastAsia"/>
              <w:noProof/>
              <w:kern w:val="2"/>
              <w:lang w:eastAsia="it-IT"/>
              <w14:ligatures w14:val="standardContextual"/>
            </w:rPr>
          </w:pPr>
          <w:r>
            <w:fldChar w:fldCharType="begin"/>
          </w:r>
          <w:r>
            <w:instrText xml:space="preserve"> TOC \o "1-3" \h \z \u </w:instrText>
          </w:r>
          <w:r>
            <w:fldChar w:fldCharType="separate"/>
          </w:r>
          <w:hyperlink w:anchor="_Toc144387772" w:history="1">
            <w:r w:rsidR="00677F35" w:rsidRPr="001456DD">
              <w:rPr>
                <w:rStyle w:val="Collegamentoipertestuale"/>
                <w:noProof/>
              </w:rPr>
              <w:t>1. Premessa: il Contesto Normativo</w:t>
            </w:r>
            <w:r w:rsidR="00677F35">
              <w:rPr>
                <w:noProof/>
                <w:webHidden/>
              </w:rPr>
              <w:tab/>
            </w:r>
            <w:r w:rsidR="00677F35">
              <w:rPr>
                <w:noProof/>
                <w:webHidden/>
              </w:rPr>
              <w:fldChar w:fldCharType="begin"/>
            </w:r>
            <w:r w:rsidR="00677F35">
              <w:rPr>
                <w:noProof/>
                <w:webHidden/>
              </w:rPr>
              <w:instrText xml:space="preserve"> PAGEREF _Toc144387772 \h </w:instrText>
            </w:r>
            <w:r w:rsidR="00677F35">
              <w:rPr>
                <w:noProof/>
                <w:webHidden/>
              </w:rPr>
            </w:r>
            <w:r w:rsidR="00677F35">
              <w:rPr>
                <w:noProof/>
                <w:webHidden/>
              </w:rPr>
              <w:fldChar w:fldCharType="separate"/>
            </w:r>
            <w:r w:rsidR="006562C3">
              <w:rPr>
                <w:noProof/>
                <w:webHidden/>
              </w:rPr>
              <w:t>3</w:t>
            </w:r>
            <w:r w:rsidR="00677F35">
              <w:rPr>
                <w:noProof/>
                <w:webHidden/>
              </w:rPr>
              <w:fldChar w:fldCharType="end"/>
            </w:r>
          </w:hyperlink>
        </w:p>
        <w:p w14:paraId="0E934822" w14:textId="0007FDF7" w:rsidR="00677F35" w:rsidRDefault="006562C3">
          <w:pPr>
            <w:pStyle w:val="Sommario1"/>
            <w:tabs>
              <w:tab w:val="right" w:leader="dot" w:pos="9628"/>
            </w:tabs>
            <w:rPr>
              <w:rFonts w:eastAsiaTheme="minorEastAsia"/>
              <w:noProof/>
              <w:kern w:val="2"/>
              <w:lang w:eastAsia="it-IT"/>
              <w14:ligatures w14:val="standardContextual"/>
            </w:rPr>
          </w:pPr>
          <w:hyperlink w:anchor="_Toc144387773" w:history="1">
            <w:r w:rsidR="00677F35" w:rsidRPr="001456DD">
              <w:rPr>
                <w:rStyle w:val="Collegamentoipertestuale"/>
                <w:noProof/>
              </w:rPr>
              <w:t>2. Segnalazioni al RPCT</w:t>
            </w:r>
            <w:r w:rsidR="00677F35">
              <w:rPr>
                <w:noProof/>
                <w:webHidden/>
              </w:rPr>
              <w:tab/>
            </w:r>
            <w:r w:rsidR="00677F35">
              <w:rPr>
                <w:noProof/>
                <w:webHidden/>
              </w:rPr>
              <w:fldChar w:fldCharType="begin"/>
            </w:r>
            <w:r w:rsidR="00677F35">
              <w:rPr>
                <w:noProof/>
                <w:webHidden/>
              </w:rPr>
              <w:instrText xml:space="preserve"> PAGEREF _Toc144387773 \h </w:instrText>
            </w:r>
            <w:r w:rsidR="00677F35">
              <w:rPr>
                <w:noProof/>
                <w:webHidden/>
              </w:rPr>
            </w:r>
            <w:r w:rsidR="00677F35">
              <w:rPr>
                <w:noProof/>
                <w:webHidden/>
              </w:rPr>
              <w:fldChar w:fldCharType="separate"/>
            </w:r>
            <w:r>
              <w:rPr>
                <w:noProof/>
                <w:webHidden/>
              </w:rPr>
              <w:t>3</w:t>
            </w:r>
            <w:r w:rsidR="00677F35">
              <w:rPr>
                <w:noProof/>
                <w:webHidden/>
              </w:rPr>
              <w:fldChar w:fldCharType="end"/>
            </w:r>
          </w:hyperlink>
        </w:p>
        <w:p w14:paraId="434305F6" w14:textId="0A1B1CED" w:rsidR="00677F35" w:rsidRDefault="006562C3">
          <w:pPr>
            <w:pStyle w:val="Sommario2"/>
            <w:tabs>
              <w:tab w:val="right" w:leader="dot" w:pos="9628"/>
            </w:tabs>
            <w:rPr>
              <w:rFonts w:eastAsiaTheme="minorEastAsia"/>
              <w:noProof/>
              <w:kern w:val="2"/>
              <w:lang w:eastAsia="it-IT"/>
              <w14:ligatures w14:val="standardContextual"/>
            </w:rPr>
          </w:pPr>
          <w:hyperlink w:anchor="_Toc144387774" w:history="1">
            <w:r w:rsidR="00677F35" w:rsidRPr="001456DD">
              <w:rPr>
                <w:rStyle w:val="Collegamentoipertestuale"/>
                <w:noProof/>
              </w:rPr>
              <w:t>2.1 Oggetto della segnalazione</w:t>
            </w:r>
            <w:r w:rsidR="00677F35">
              <w:rPr>
                <w:noProof/>
                <w:webHidden/>
              </w:rPr>
              <w:tab/>
            </w:r>
            <w:r w:rsidR="00677F35">
              <w:rPr>
                <w:noProof/>
                <w:webHidden/>
              </w:rPr>
              <w:fldChar w:fldCharType="begin"/>
            </w:r>
            <w:r w:rsidR="00677F35">
              <w:rPr>
                <w:noProof/>
                <w:webHidden/>
              </w:rPr>
              <w:instrText xml:space="preserve"> PAGEREF _Toc144387774 \h </w:instrText>
            </w:r>
            <w:r w:rsidR="00677F35">
              <w:rPr>
                <w:noProof/>
                <w:webHidden/>
              </w:rPr>
            </w:r>
            <w:r w:rsidR="00677F35">
              <w:rPr>
                <w:noProof/>
                <w:webHidden/>
              </w:rPr>
              <w:fldChar w:fldCharType="separate"/>
            </w:r>
            <w:r>
              <w:rPr>
                <w:noProof/>
                <w:webHidden/>
              </w:rPr>
              <w:t>3</w:t>
            </w:r>
            <w:r w:rsidR="00677F35">
              <w:rPr>
                <w:noProof/>
                <w:webHidden/>
              </w:rPr>
              <w:fldChar w:fldCharType="end"/>
            </w:r>
          </w:hyperlink>
        </w:p>
        <w:p w14:paraId="7D487E63" w14:textId="7A66F457" w:rsidR="00677F35" w:rsidRDefault="006562C3">
          <w:pPr>
            <w:pStyle w:val="Sommario2"/>
            <w:tabs>
              <w:tab w:val="right" w:leader="dot" w:pos="9628"/>
            </w:tabs>
            <w:rPr>
              <w:rFonts w:eastAsiaTheme="minorEastAsia"/>
              <w:noProof/>
              <w:kern w:val="2"/>
              <w:lang w:eastAsia="it-IT"/>
              <w14:ligatures w14:val="standardContextual"/>
            </w:rPr>
          </w:pPr>
          <w:hyperlink w:anchor="_Toc144387775" w:history="1">
            <w:r w:rsidR="00677F35" w:rsidRPr="001456DD">
              <w:rPr>
                <w:rStyle w:val="Collegamentoipertestuale"/>
                <w:noProof/>
              </w:rPr>
              <w:t>2.2 Procedura di gestione della segnalazione interna</w:t>
            </w:r>
            <w:r w:rsidR="00677F35">
              <w:rPr>
                <w:noProof/>
                <w:webHidden/>
              </w:rPr>
              <w:tab/>
            </w:r>
            <w:r w:rsidR="00677F35">
              <w:rPr>
                <w:noProof/>
                <w:webHidden/>
              </w:rPr>
              <w:fldChar w:fldCharType="begin"/>
            </w:r>
            <w:r w:rsidR="00677F35">
              <w:rPr>
                <w:noProof/>
                <w:webHidden/>
              </w:rPr>
              <w:instrText xml:space="preserve"> PAGEREF _Toc144387775 \h </w:instrText>
            </w:r>
            <w:r w:rsidR="00677F35">
              <w:rPr>
                <w:noProof/>
                <w:webHidden/>
              </w:rPr>
            </w:r>
            <w:r w:rsidR="00677F35">
              <w:rPr>
                <w:noProof/>
                <w:webHidden/>
              </w:rPr>
              <w:fldChar w:fldCharType="separate"/>
            </w:r>
            <w:r>
              <w:rPr>
                <w:noProof/>
                <w:webHidden/>
              </w:rPr>
              <w:t>4</w:t>
            </w:r>
            <w:r w:rsidR="00677F35">
              <w:rPr>
                <w:noProof/>
                <w:webHidden/>
              </w:rPr>
              <w:fldChar w:fldCharType="end"/>
            </w:r>
          </w:hyperlink>
        </w:p>
        <w:p w14:paraId="61259BDE" w14:textId="7741AEC7" w:rsidR="00677F35" w:rsidRDefault="006562C3">
          <w:pPr>
            <w:pStyle w:val="Sommario2"/>
            <w:tabs>
              <w:tab w:val="right" w:leader="dot" w:pos="9628"/>
            </w:tabs>
            <w:rPr>
              <w:rFonts w:eastAsiaTheme="minorEastAsia"/>
              <w:noProof/>
              <w:kern w:val="2"/>
              <w:lang w:eastAsia="it-IT"/>
              <w14:ligatures w14:val="standardContextual"/>
            </w:rPr>
          </w:pPr>
          <w:hyperlink w:anchor="_Toc144387776" w:history="1">
            <w:r w:rsidR="00677F35" w:rsidRPr="001456DD">
              <w:rPr>
                <w:rStyle w:val="Collegamentoipertestuale"/>
                <w:noProof/>
              </w:rPr>
              <w:t>2.3 Condizioni di tutela</w:t>
            </w:r>
            <w:r w:rsidR="00677F35">
              <w:rPr>
                <w:noProof/>
                <w:webHidden/>
              </w:rPr>
              <w:tab/>
            </w:r>
            <w:r w:rsidR="00677F35">
              <w:rPr>
                <w:noProof/>
                <w:webHidden/>
              </w:rPr>
              <w:fldChar w:fldCharType="begin"/>
            </w:r>
            <w:r w:rsidR="00677F35">
              <w:rPr>
                <w:noProof/>
                <w:webHidden/>
              </w:rPr>
              <w:instrText xml:space="preserve"> PAGEREF _Toc144387776 \h </w:instrText>
            </w:r>
            <w:r w:rsidR="00677F35">
              <w:rPr>
                <w:noProof/>
                <w:webHidden/>
              </w:rPr>
            </w:r>
            <w:r w:rsidR="00677F35">
              <w:rPr>
                <w:noProof/>
                <w:webHidden/>
              </w:rPr>
              <w:fldChar w:fldCharType="separate"/>
            </w:r>
            <w:r>
              <w:rPr>
                <w:noProof/>
                <w:webHidden/>
              </w:rPr>
              <w:t>6</w:t>
            </w:r>
            <w:r w:rsidR="00677F35">
              <w:rPr>
                <w:noProof/>
                <w:webHidden/>
              </w:rPr>
              <w:fldChar w:fldCharType="end"/>
            </w:r>
          </w:hyperlink>
        </w:p>
        <w:p w14:paraId="7AD96FE2" w14:textId="44F07855" w:rsidR="00677F35" w:rsidRDefault="006562C3">
          <w:pPr>
            <w:pStyle w:val="Sommario2"/>
            <w:tabs>
              <w:tab w:val="right" w:leader="dot" w:pos="9628"/>
            </w:tabs>
            <w:rPr>
              <w:rFonts w:eastAsiaTheme="minorEastAsia"/>
              <w:noProof/>
              <w:kern w:val="2"/>
              <w:lang w:eastAsia="it-IT"/>
              <w14:ligatures w14:val="standardContextual"/>
            </w:rPr>
          </w:pPr>
          <w:hyperlink w:anchor="_Toc144387777" w:history="1">
            <w:r w:rsidR="00677F35" w:rsidRPr="001456DD">
              <w:rPr>
                <w:rStyle w:val="Collegamentoipertestuale"/>
                <w:noProof/>
              </w:rPr>
              <w:t>2.4 Segnalazioni anonime</w:t>
            </w:r>
            <w:r w:rsidR="00677F35">
              <w:rPr>
                <w:noProof/>
                <w:webHidden/>
              </w:rPr>
              <w:tab/>
            </w:r>
            <w:r w:rsidR="00677F35">
              <w:rPr>
                <w:noProof/>
                <w:webHidden/>
              </w:rPr>
              <w:fldChar w:fldCharType="begin"/>
            </w:r>
            <w:r w:rsidR="00677F35">
              <w:rPr>
                <w:noProof/>
                <w:webHidden/>
              </w:rPr>
              <w:instrText xml:space="preserve"> PAGEREF _Toc144387777 \h </w:instrText>
            </w:r>
            <w:r w:rsidR="00677F35">
              <w:rPr>
                <w:noProof/>
                <w:webHidden/>
              </w:rPr>
            </w:r>
            <w:r w:rsidR="00677F35">
              <w:rPr>
                <w:noProof/>
                <w:webHidden/>
              </w:rPr>
              <w:fldChar w:fldCharType="separate"/>
            </w:r>
            <w:r>
              <w:rPr>
                <w:noProof/>
                <w:webHidden/>
              </w:rPr>
              <w:t>6</w:t>
            </w:r>
            <w:r w:rsidR="00677F35">
              <w:rPr>
                <w:noProof/>
                <w:webHidden/>
              </w:rPr>
              <w:fldChar w:fldCharType="end"/>
            </w:r>
          </w:hyperlink>
        </w:p>
        <w:p w14:paraId="02A621F3" w14:textId="70BF3EC8" w:rsidR="00677F35" w:rsidRDefault="006562C3">
          <w:pPr>
            <w:pStyle w:val="Sommario2"/>
            <w:tabs>
              <w:tab w:val="right" w:leader="dot" w:pos="9628"/>
            </w:tabs>
            <w:rPr>
              <w:rFonts w:eastAsiaTheme="minorEastAsia"/>
              <w:noProof/>
              <w:kern w:val="2"/>
              <w:lang w:eastAsia="it-IT"/>
              <w14:ligatures w14:val="standardContextual"/>
            </w:rPr>
          </w:pPr>
          <w:hyperlink w:anchor="_Toc144387778" w:history="1">
            <w:r w:rsidR="00677F35" w:rsidRPr="001456DD">
              <w:rPr>
                <w:rStyle w:val="Collegamentoipertestuale"/>
                <w:noProof/>
              </w:rPr>
              <w:t>2.5 Segnalazioni ordinarie</w:t>
            </w:r>
            <w:r w:rsidR="00677F35">
              <w:rPr>
                <w:noProof/>
                <w:webHidden/>
              </w:rPr>
              <w:tab/>
            </w:r>
            <w:r w:rsidR="00677F35">
              <w:rPr>
                <w:noProof/>
                <w:webHidden/>
              </w:rPr>
              <w:fldChar w:fldCharType="begin"/>
            </w:r>
            <w:r w:rsidR="00677F35">
              <w:rPr>
                <w:noProof/>
                <w:webHidden/>
              </w:rPr>
              <w:instrText xml:space="preserve"> PAGEREF _Toc144387778 \h </w:instrText>
            </w:r>
            <w:r w:rsidR="00677F35">
              <w:rPr>
                <w:noProof/>
                <w:webHidden/>
              </w:rPr>
            </w:r>
            <w:r w:rsidR="00677F35">
              <w:rPr>
                <w:noProof/>
                <w:webHidden/>
              </w:rPr>
              <w:fldChar w:fldCharType="separate"/>
            </w:r>
            <w:r>
              <w:rPr>
                <w:noProof/>
                <w:webHidden/>
              </w:rPr>
              <w:t>7</w:t>
            </w:r>
            <w:r w:rsidR="00677F35">
              <w:rPr>
                <w:noProof/>
                <w:webHidden/>
              </w:rPr>
              <w:fldChar w:fldCharType="end"/>
            </w:r>
          </w:hyperlink>
        </w:p>
        <w:p w14:paraId="3A7109AC" w14:textId="50D88E80" w:rsidR="00677F35" w:rsidRDefault="006562C3">
          <w:pPr>
            <w:pStyle w:val="Sommario1"/>
            <w:tabs>
              <w:tab w:val="right" w:leader="dot" w:pos="9628"/>
            </w:tabs>
            <w:rPr>
              <w:rFonts w:eastAsiaTheme="minorEastAsia"/>
              <w:noProof/>
              <w:kern w:val="2"/>
              <w:lang w:eastAsia="it-IT"/>
              <w14:ligatures w14:val="standardContextual"/>
            </w:rPr>
          </w:pPr>
          <w:hyperlink w:anchor="_Toc144387779" w:history="1">
            <w:r w:rsidR="00677F35" w:rsidRPr="001456DD">
              <w:rPr>
                <w:rStyle w:val="Collegamentoipertestuale"/>
                <w:noProof/>
              </w:rPr>
              <w:t>3. Segnalazione di misure discriminatorie o ritorsive</w:t>
            </w:r>
            <w:r w:rsidR="00677F35">
              <w:rPr>
                <w:noProof/>
                <w:webHidden/>
              </w:rPr>
              <w:tab/>
            </w:r>
            <w:r w:rsidR="00677F35">
              <w:rPr>
                <w:noProof/>
                <w:webHidden/>
              </w:rPr>
              <w:fldChar w:fldCharType="begin"/>
            </w:r>
            <w:r w:rsidR="00677F35">
              <w:rPr>
                <w:noProof/>
                <w:webHidden/>
              </w:rPr>
              <w:instrText xml:space="preserve"> PAGEREF _Toc144387779 \h </w:instrText>
            </w:r>
            <w:r w:rsidR="00677F35">
              <w:rPr>
                <w:noProof/>
                <w:webHidden/>
              </w:rPr>
            </w:r>
            <w:r w:rsidR="00677F35">
              <w:rPr>
                <w:noProof/>
                <w:webHidden/>
              </w:rPr>
              <w:fldChar w:fldCharType="separate"/>
            </w:r>
            <w:r>
              <w:rPr>
                <w:noProof/>
                <w:webHidden/>
              </w:rPr>
              <w:t>7</w:t>
            </w:r>
            <w:r w:rsidR="00677F35">
              <w:rPr>
                <w:noProof/>
                <w:webHidden/>
              </w:rPr>
              <w:fldChar w:fldCharType="end"/>
            </w:r>
          </w:hyperlink>
        </w:p>
        <w:p w14:paraId="1D8CCD47" w14:textId="079B954F" w:rsidR="00677F35" w:rsidRDefault="006562C3">
          <w:pPr>
            <w:pStyle w:val="Sommario1"/>
            <w:tabs>
              <w:tab w:val="right" w:leader="dot" w:pos="9628"/>
            </w:tabs>
            <w:rPr>
              <w:rFonts w:eastAsiaTheme="minorEastAsia"/>
              <w:noProof/>
              <w:kern w:val="2"/>
              <w:lang w:eastAsia="it-IT"/>
              <w14:ligatures w14:val="standardContextual"/>
            </w:rPr>
          </w:pPr>
          <w:hyperlink w:anchor="_Toc144387780" w:history="1">
            <w:r w:rsidR="00677F35" w:rsidRPr="001456DD">
              <w:rPr>
                <w:rStyle w:val="Collegamentoipertestuale"/>
                <w:noProof/>
              </w:rPr>
              <w:t>4. La responsabilità del segnalante</w:t>
            </w:r>
            <w:r w:rsidR="00677F35">
              <w:rPr>
                <w:noProof/>
                <w:webHidden/>
              </w:rPr>
              <w:tab/>
            </w:r>
            <w:r w:rsidR="00677F35">
              <w:rPr>
                <w:noProof/>
                <w:webHidden/>
              </w:rPr>
              <w:fldChar w:fldCharType="begin"/>
            </w:r>
            <w:r w:rsidR="00677F35">
              <w:rPr>
                <w:noProof/>
                <w:webHidden/>
              </w:rPr>
              <w:instrText xml:space="preserve"> PAGEREF _Toc144387780 \h </w:instrText>
            </w:r>
            <w:r w:rsidR="00677F35">
              <w:rPr>
                <w:noProof/>
                <w:webHidden/>
              </w:rPr>
            </w:r>
            <w:r w:rsidR="00677F35">
              <w:rPr>
                <w:noProof/>
                <w:webHidden/>
              </w:rPr>
              <w:fldChar w:fldCharType="separate"/>
            </w:r>
            <w:r>
              <w:rPr>
                <w:noProof/>
                <w:webHidden/>
              </w:rPr>
              <w:t>8</w:t>
            </w:r>
            <w:r w:rsidR="00677F35">
              <w:rPr>
                <w:noProof/>
                <w:webHidden/>
              </w:rPr>
              <w:fldChar w:fldCharType="end"/>
            </w:r>
          </w:hyperlink>
        </w:p>
        <w:p w14:paraId="3DABD357" w14:textId="1B4ED03E" w:rsidR="00677F35" w:rsidRDefault="006562C3">
          <w:pPr>
            <w:pStyle w:val="Sommario1"/>
            <w:tabs>
              <w:tab w:val="right" w:leader="dot" w:pos="9628"/>
            </w:tabs>
            <w:rPr>
              <w:rFonts w:eastAsiaTheme="minorEastAsia"/>
              <w:noProof/>
              <w:kern w:val="2"/>
              <w:lang w:eastAsia="it-IT"/>
              <w14:ligatures w14:val="standardContextual"/>
            </w:rPr>
          </w:pPr>
          <w:hyperlink w:anchor="_Toc144387781" w:history="1">
            <w:r w:rsidR="00677F35" w:rsidRPr="001456DD">
              <w:rPr>
                <w:rStyle w:val="Collegamentoipertestuale"/>
                <w:noProof/>
              </w:rPr>
              <w:t>5. Disposizioni finali</w:t>
            </w:r>
            <w:r w:rsidR="00677F35">
              <w:rPr>
                <w:noProof/>
                <w:webHidden/>
              </w:rPr>
              <w:tab/>
            </w:r>
            <w:r w:rsidR="00677F35">
              <w:rPr>
                <w:noProof/>
                <w:webHidden/>
              </w:rPr>
              <w:fldChar w:fldCharType="begin"/>
            </w:r>
            <w:r w:rsidR="00677F35">
              <w:rPr>
                <w:noProof/>
                <w:webHidden/>
              </w:rPr>
              <w:instrText xml:space="preserve"> PAGEREF _Toc144387781 \h </w:instrText>
            </w:r>
            <w:r w:rsidR="00677F35">
              <w:rPr>
                <w:noProof/>
                <w:webHidden/>
              </w:rPr>
            </w:r>
            <w:r w:rsidR="00677F35">
              <w:rPr>
                <w:noProof/>
                <w:webHidden/>
              </w:rPr>
              <w:fldChar w:fldCharType="separate"/>
            </w:r>
            <w:r>
              <w:rPr>
                <w:noProof/>
                <w:webHidden/>
              </w:rPr>
              <w:t>8</w:t>
            </w:r>
            <w:r w:rsidR="00677F35">
              <w:rPr>
                <w:noProof/>
                <w:webHidden/>
              </w:rPr>
              <w:fldChar w:fldCharType="end"/>
            </w:r>
          </w:hyperlink>
        </w:p>
        <w:p w14:paraId="1D678C8E" w14:textId="03D79371" w:rsidR="009952E8" w:rsidRDefault="009952E8">
          <w:r>
            <w:rPr>
              <w:b/>
              <w:bCs/>
            </w:rPr>
            <w:fldChar w:fldCharType="end"/>
          </w:r>
        </w:p>
      </w:sdtContent>
    </w:sdt>
    <w:p w14:paraId="1D678C8F" w14:textId="77777777" w:rsidR="004F44E9" w:rsidRDefault="004F44E9" w:rsidP="004F44E9"/>
    <w:p w14:paraId="1D678C90" w14:textId="77777777" w:rsidR="004F44E9" w:rsidRPr="004F44E9" w:rsidRDefault="004F44E9" w:rsidP="004F44E9"/>
    <w:p w14:paraId="1D678C91" w14:textId="77777777" w:rsidR="00F725AE" w:rsidRDefault="00F725AE">
      <w:r>
        <w:br w:type="page"/>
      </w:r>
    </w:p>
    <w:p w14:paraId="1D678C92" w14:textId="77777777" w:rsidR="00D27683" w:rsidRDefault="00D27683" w:rsidP="005025AB">
      <w:pPr>
        <w:pStyle w:val="Titolo1"/>
      </w:pPr>
      <w:bookmarkStart w:id="0" w:name="_Toc144387772"/>
      <w:r>
        <w:lastRenderedPageBreak/>
        <w:t>1. Premessa</w:t>
      </w:r>
      <w:r w:rsidR="005025AB">
        <w:t>:</w:t>
      </w:r>
      <w:r>
        <w:t xml:space="preserve"> </w:t>
      </w:r>
      <w:r w:rsidR="005025AB">
        <w:t xml:space="preserve">il </w:t>
      </w:r>
      <w:r>
        <w:t>Contesto Normativo</w:t>
      </w:r>
      <w:bookmarkEnd w:id="0"/>
    </w:p>
    <w:p w14:paraId="373A8C9C" w14:textId="77777777" w:rsidR="00677F35" w:rsidRDefault="00677F35" w:rsidP="00677F35"/>
    <w:p w14:paraId="74F47590" w14:textId="14F5DD61" w:rsidR="00E24A80" w:rsidRDefault="008F7692" w:rsidP="00677F35">
      <w:pPr>
        <w:rPr>
          <w:b/>
          <w:bCs/>
        </w:rPr>
      </w:pPr>
      <w:r w:rsidRPr="008F7692">
        <w:t>In attuazione della Direttiva (UE) 2019/1937, è stato emanato il d.lgs. n. 24 del 10 marzo 2023 riguardante “la protezione delle persone che segnalano violazioni del diritto dell'Unione e recante disposizioni riguardanti la protezione delle persone che segnalano violazioni delle disposizioni normative nazionali”.</w:t>
      </w:r>
      <w:r w:rsidR="004B6E5C">
        <w:rPr>
          <w:b/>
          <w:bCs/>
        </w:rPr>
        <w:t xml:space="preserve"> </w:t>
      </w:r>
      <w:r w:rsidRPr="008F7692">
        <w:t xml:space="preserve">Il decreto è entrato in vigore il 30 marzo 2023 e le disposizioni ivi previste sono efficaci dal 15 luglio 2023. </w:t>
      </w:r>
    </w:p>
    <w:p w14:paraId="2F35F610" w14:textId="3F81F88B" w:rsidR="004B6E5C" w:rsidRDefault="00810D87" w:rsidP="004B6E5C">
      <w:r>
        <w:t>Rientrano nella sfera di tutela non solo il dipendente,</w:t>
      </w:r>
      <w:r w:rsidR="00613DC7">
        <w:t xml:space="preserve"> l’ex dipendente o il candidato </w:t>
      </w:r>
      <w:r w:rsidR="00B26929">
        <w:t>all’assunzione,</w:t>
      </w:r>
      <w:r>
        <w:t xml:space="preserve"> ma anche</w:t>
      </w:r>
      <w:r w:rsidR="00D1781E">
        <w:t xml:space="preserve"> coloro che presso l’Amministrazione</w:t>
      </w:r>
      <w:r>
        <w:t>:</w:t>
      </w:r>
    </w:p>
    <w:p w14:paraId="54DD9697" w14:textId="7828CF8C" w:rsidR="0093746D" w:rsidRPr="0093746D" w:rsidRDefault="0093746D" w:rsidP="0093746D">
      <w:pPr>
        <w:numPr>
          <w:ilvl w:val="0"/>
          <w:numId w:val="13"/>
        </w:numPr>
        <w:tabs>
          <w:tab w:val="left" w:pos="470"/>
        </w:tabs>
        <w:spacing w:after="0" w:line="442" w:lineRule="exact"/>
        <w:ind w:left="1195"/>
        <w:contextualSpacing/>
      </w:pPr>
      <w:r w:rsidRPr="0093746D">
        <w:t>svolgono la propria attività</w:t>
      </w:r>
      <w:r w:rsidR="00517066">
        <w:t xml:space="preserve"> come</w:t>
      </w:r>
      <w:r w:rsidRPr="0093746D">
        <w:t xml:space="preserve"> lavoratori autonomi;</w:t>
      </w:r>
    </w:p>
    <w:p w14:paraId="601EA7FB" w14:textId="50AF3302" w:rsidR="0093746D" w:rsidRPr="0093746D" w:rsidRDefault="0093746D" w:rsidP="001E1F8C">
      <w:pPr>
        <w:numPr>
          <w:ilvl w:val="0"/>
          <w:numId w:val="13"/>
        </w:numPr>
        <w:tabs>
          <w:tab w:val="left" w:pos="470"/>
        </w:tabs>
        <w:spacing w:after="0" w:line="401" w:lineRule="exact"/>
        <w:ind w:left="1195"/>
        <w:contextualSpacing/>
      </w:pPr>
      <w:r w:rsidRPr="0093746D">
        <w:t xml:space="preserve">svolgono la propria attività </w:t>
      </w:r>
      <w:r w:rsidR="00517066">
        <w:t xml:space="preserve">come </w:t>
      </w:r>
      <w:r w:rsidRPr="0093746D">
        <w:t xml:space="preserve">lavoratori o collaboratori </w:t>
      </w:r>
      <w:r w:rsidR="00233264">
        <w:t xml:space="preserve">e </w:t>
      </w:r>
      <w:r w:rsidRPr="0093746D">
        <w:t>forniscono beni o servizi o realizzano opere in favore di terzi;</w:t>
      </w:r>
    </w:p>
    <w:p w14:paraId="2CC7ED96" w14:textId="56A158FF" w:rsidR="0093746D" w:rsidRPr="0093746D" w:rsidRDefault="0093746D" w:rsidP="00111C56">
      <w:pPr>
        <w:numPr>
          <w:ilvl w:val="0"/>
          <w:numId w:val="14"/>
        </w:numPr>
        <w:tabs>
          <w:tab w:val="left" w:pos="473"/>
          <w:tab w:val="num" w:pos="720"/>
        </w:tabs>
        <w:spacing w:after="0" w:line="418" w:lineRule="exact"/>
        <w:ind w:left="1195"/>
        <w:contextualSpacing/>
      </w:pPr>
      <w:r w:rsidRPr="0093746D">
        <w:t>prestano la propria attività</w:t>
      </w:r>
      <w:r w:rsidR="00233264">
        <w:t xml:space="preserve"> come</w:t>
      </w:r>
      <w:r w:rsidRPr="0093746D">
        <w:t xml:space="preserve"> liberi professionisti</w:t>
      </w:r>
      <w:r w:rsidR="00512AC7">
        <w:t>,</w:t>
      </w:r>
      <w:r w:rsidRPr="0093746D">
        <w:t xml:space="preserve"> consulenti</w:t>
      </w:r>
      <w:r w:rsidR="00512AC7">
        <w:t xml:space="preserve">, </w:t>
      </w:r>
      <w:r w:rsidRPr="0093746D">
        <w:t>volontari e tirocinanti, retribuiti e non retribuiti;</w:t>
      </w:r>
    </w:p>
    <w:p w14:paraId="4825EC69" w14:textId="57540429" w:rsidR="00EF3339" w:rsidRPr="00EF3339" w:rsidRDefault="004658DF" w:rsidP="00EF3339">
      <w:pPr>
        <w:numPr>
          <w:ilvl w:val="0"/>
          <w:numId w:val="13"/>
        </w:numPr>
        <w:tabs>
          <w:tab w:val="left" w:pos="470"/>
        </w:tabs>
        <w:spacing w:after="0" w:line="442" w:lineRule="exact"/>
        <w:ind w:left="1195"/>
        <w:contextualSpacing/>
      </w:pPr>
      <w:r>
        <w:t xml:space="preserve">coprono o hanno </w:t>
      </w:r>
      <w:r w:rsidR="00B26929">
        <w:t>svolto</w:t>
      </w:r>
      <w:r w:rsidR="00EF3339">
        <w:t xml:space="preserve"> </w:t>
      </w:r>
      <w:r w:rsidR="0093746D" w:rsidRPr="0093746D">
        <w:t>funzioni</w:t>
      </w:r>
      <w:r w:rsidR="00EF3339">
        <w:t xml:space="preserve"> </w:t>
      </w:r>
      <w:r w:rsidR="0093746D" w:rsidRPr="0093746D">
        <w:t>di</w:t>
      </w:r>
      <w:r w:rsidR="00EF3339">
        <w:t xml:space="preserve"> </w:t>
      </w:r>
      <w:r w:rsidR="0093746D" w:rsidRPr="0093746D">
        <w:t>amministrazione,</w:t>
      </w:r>
      <w:r w:rsidR="00EF3339">
        <w:t xml:space="preserve"> </w:t>
      </w:r>
      <w:r w:rsidR="0093746D" w:rsidRPr="0093746D">
        <w:t>direzione,</w:t>
      </w:r>
      <w:r w:rsidR="00EF3339">
        <w:t xml:space="preserve"> </w:t>
      </w:r>
      <w:r w:rsidR="0093746D" w:rsidRPr="0093746D">
        <w:t>controllo,</w:t>
      </w:r>
      <w:r w:rsidR="00EF3339">
        <w:t xml:space="preserve"> </w:t>
      </w:r>
      <w:r w:rsidR="0093746D" w:rsidRPr="0093746D">
        <w:t>vigilanza</w:t>
      </w:r>
      <w:r w:rsidR="00EF3339">
        <w:t xml:space="preserve"> </w:t>
      </w:r>
      <w:r w:rsidR="0093746D" w:rsidRPr="0093746D">
        <w:t>o rappresentanza, anche qualora tali funzioni siano esercitate in via di mero fatto</w:t>
      </w:r>
      <w:r w:rsidR="00EF3339">
        <w:t>.</w:t>
      </w:r>
    </w:p>
    <w:p w14:paraId="13EFBA41" w14:textId="77777777" w:rsidR="00810D87" w:rsidRPr="004B6E5C" w:rsidRDefault="00810D87" w:rsidP="004B6E5C"/>
    <w:p w14:paraId="1D678C9C" w14:textId="24809C2F" w:rsidR="00D27683" w:rsidRDefault="00D27683" w:rsidP="008F7692">
      <w:pPr>
        <w:pStyle w:val="Titolo1"/>
      </w:pPr>
      <w:bookmarkStart w:id="1" w:name="_Toc144387773"/>
      <w:r>
        <w:t>2. Segnalazioni al RPCT</w:t>
      </w:r>
      <w:bookmarkEnd w:id="1"/>
    </w:p>
    <w:p w14:paraId="1D678C9D" w14:textId="77777777" w:rsidR="005025AB" w:rsidRDefault="005025AB" w:rsidP="00D27683"/>
    <w:p w14:paraId="1D678C9E" w14:textId="271CB015" w:rsidR="00D27683" w:rsidRDefault="00D27683" w:rsidP="00D27683">
      <w:r>
        <w:t xml:space="preserve">Con riferimento ai destinatari della segnalazione, la normativa vigente indica </w:t>
      </w:r>
      <w:r w:rsidR="00BA3D85">
        <w:t>che</w:t>
      </w:r>
      <w:r w:rsidR="00BA67EE">
        <w:t xml:space="preserve"> - </w:t>
      </w:r>
      <w:r>
        <w:t xml:space="preserve">qualora il segnalante non effettui una denuncia all’autorità giudiziaria, alla Corte </w:t>
      </w:r>
      <w:r w:rsidR="002A2B97">
        <w:t>dei Conti</w:t>
      </w:r>
      <w:r>
        <w:t xml:space="preserve"> o all’A.N.AC.</w:t>
      </w:r>
      <w:r w:rsidR="00BA67EE">
        <w:t xml:space="preserve"> - </w:t>
      </w:r>
      <w:r>
        <w:t xml:space="preserve">«riferisca al proprio superiore gerarchico». </w:t>
      </w:r>
    </w:p>
    <w:p w14:paraId="1D678C9F" w14:textId="208CDA82" w:rsidR="00D27683" w:rsidRDefault="00213BA7" w:rsidP="00D27683">
      <w:r>
        <w:t>A</w:t>
      </w:r>
      <w:r w:rsidR="00D27683">
        <w:t>l fine di</w:t>
      </w:r>
      <w:r w:rsidR="00CC08D6">
        <w:t xml:space="preserve"> agevolare tale segnalazione, </w:t>
      </w:r>
      <w:r w:rsidR="00FD3DED">
        <w:t>e</w:t>
      </w:r>
      <w:r w:rsidR="00D27683">
        <w:t xml:space="preserve"> garantire una maggiore tutela della riservatezza dell’identità del segnalante all’interno dell’ente di appartenenza, </w:t>
      </w:r>
      <w:r w:rsidR="00FD3DED">
        <w:t xml:space="preserve">la legge prescrive che </w:t>
      </w:r>
      <w:r w:rsidR="00CA203A">
        <w:t xml:space="preserve">tale obbligo possa essere adempiuto tramite segnalazione </w:t>
      </w:r>
      <w:r w:rsidR="00400169">
        <w:t xml:space="preserve">al Responsabile della prevenzione della corruzione della struttura di appartenenza </w:t>
      </w:r>
      <w:r w:rsidR="00D27683">
        <w:t>c</w:t>
      </w:r>
      <w:r w:rsidR="00400169">
        <w:t>on modalità “protette”.</w:t>
      </w:r>
      <w:r w:rsidR="00D27683">
        <w:t xml:space="preserve"> </w:t>
      </w:r>
    </w:p>
    <w:p w14:paraId="1D678CA0" w14:textId="77777777" w:rsidR="00D27683" w:rsidRDefault="00D27683" w:rsidP="00D27683"/>
    <w:p w14:paraId="1D678CA1" w14:textId="77777777" w:rsidR="00D27683" w:rsidRDefault="00D27683" w:rsidP="009952E8">
      <w:pPr>
        <w:pStyle w:val="Titolo2"/>
      </w:pPr>
      <w:bookmarkStart w:id="2" w:name="_Toc144387774"/>
      <w:r>
        <w:t>2.1 Oggetto della segnalazione</w:t>
      </w:r>
      <w:bookmarkEnd w:id="2"/>
      <w:r>
        <w:t xml:space="preserve"> </w:t>
      </w:r>
    </w:p>
    <w:p w14:paraId="1D678CA2" w14:textId="77777777" w:rsidR="00F725AE" w:rsidRPr="00F725AE" w:rsidRDefault="00F725AE" w:rsidP="00F725AE"/>
    <w:p w14:paraId="0DB413A8" w14:textId="27A3023F" w:rsidR="00240CE0" w:rsidRDefault="00D27683" w:rsidP="00240CE0">
      <w:r>
        <w:t>Le condotte illecite, oggetto delle segnalazioni meritevoli di tutela</w:t>
      </w:r>
      <w:r w:rsidR="0039421A">
        <w:t>,</w:t>
      </w:r>
      <w:r>
        <w:t xml:space="preserve"> devono riguardare</w:t>
      </w:r>
      <w:r w:rsidR="00240CE0">
        <w:t>:</w:t>
      </w:r>
    </w:p>
    <w:p w14:paraId="13E9ED4E" w14:textId="5D7748F8" w:rsidR="004B3588" w:rsidRPr="004B3588" w:rsidRDefault="00240CE0" w:rsidP="008F2D1F">
      <w:pPr>
        <w:pStyle w:val="Paragrafoelenco"/>
        <w:numPr>
          <w:ilvl w:val="0"/>
          <w:numId w:val="9"/>
        </w:numPr>
      </w:pPr>
      <w:r w:rsidRPr="007717CD">
        <w:rPr>
          <w:b/>
          <w:bCs/>
        </w:rPr>
        <w:t>illeciti amministrativi, contabili, civili o penali</w:t>
      </w:r>
      <w:r w:rsidR="004B3588" w:rsidRPr="007717CD">
        <w:rPr>
          <w:b/>
          <w:bCs/>
        </w:rPr>
        <w:t xml:space="preserve"> </w:t>
      </w:r>
      <w:r w:rsidR="004B3588" w:rsidRPr="004B3588">
        <w:rPr>
          <w:b/>
          <w:bCs/>
        </w:rPr>
        <w:t>relativi ai seguenti settori</w:t>
      </w:r>
      <w:r w:rsidR="004B3588" w:rsidRPr="004B3588">
        <w:t xml:space="preserve">: </w:t>
      </w:r>
    </w:p>
    <w:p w14:paraId="39E29A4E" w14:textId="77777777" w:rsidR="004B3588" w:rsidRPr="004B3588" w:rsidRDefault="004B3588" w:rsidP="004B3588">
      <w:pPr>
        <w:pStyle w:val="Paragrafoelenco"/>
        <w:numPr>
          <w:ilvl w:val="1"/>
          <w:numId w:val="9"/>
        </w:numPr>
      </w:pPr>
      <w:r w:rsidRPr="004B3588">
        <w:rPr>
          <w:b/>
          <w:bCs/>
        </w:rPr>
        <w:t>appalti pubblici</w:t>
      </w:r>
      <w:r w:rsidRPr="004B3588">
        <w:t xml:space="preserve">; </w:t>
      </w:r>
    </w:p>
    <w:p w14:paraId="3D0DD0E6" w14:textId="77777777" w:rsidR="004B3588" w:rsidRPr="004B3588" w:rsidRDefault="004B3588" w:rsidP="004B3588">
      <w:pPr>
        <w:pStyle w:val="Paragrafoelenco"/>
        <w:numPr>
          <w:ilvl w:val="1"/>
          <w:numId w:val="9"/>
        </w:numPr>
      </w:pPr>
      <w:r w:rsidRPr="004B3588">
        <w:rPr>
          <w:b/>
          <w:bCs/>
        </w:rPr>
        <w:t>servizi</w:t>
      </w:r>
      <w:r w:rsidRPr="004B3588">
        <w:t xml:space="preserve">, prodotti e mercati finanziari e </w:t>
      </w:r>
      <w:r w:rsidRPr="004B3588">
        <w:rPr>
          <w:b/>
          <w:bCs/>
        </w:rPr>
        <w:t>prevenzione del riciclaggio</w:t>
      </w:r>
      <w:r w:rsidRPr="004B3588">
        <w:t xml:space="preserve"> e del finanziamento del terrorismo; </w:t>
      </w:r>
    </w:p>
    <w:p w14:paraId="524AC1EB" w14:textId="77777777" w:rsidR="004B3588" w:rsidRPr="004B3588" w:rsidRDefault="004B3588" w:rsidP="004B3588">
      <w:pPr>
        <w:pStyle w:val="Paragrafoelenco"/>
        <w:numPr>
          <w:ilvl w:val="1"/>
          <w:numId w:val="9"/>
        </w:numPr>
      </w:pPr>
      <w:r w:rsidRPr="004B3588">
        <w:t>sicurezza e conformità dei prodotti;</w:t>
      </w:r>
    </w:p>
    <w:p w14:paraId="68BE709E" w14:textId="6C69B823" w:rsidR="004B3588" w:rsidRPr="004B3588" w:rsidRDefault="004B3588" w:rsidP="00181367">
      <w:pPr>
        <w:pStyle w:val="Paragrafoelenco"/>
        <w:numPr>
          <w:ilvl w:val="1"/>
          <w:numId w:val="9"/>
        </w:numPr>
      </w:pPr>
      <w:r w:rsidRPr="004B3588">
        <w:t xml:space="preserve">sicurezza dei trasporti; tutela dell’ambiente; </w:t>
      </w:r>
    </w:p>
    <w:p w14:paraId="52F62AEA" w14:textId="4BCE577C" w:rsidR="004B3588" w:rsidRDefault="004B3588" w:rsidP="004B3588">
      <w:pPr>
        <w:pStyle w:val="Paragrafoelenco"/>
        <w:numPr>
          <w:ilvl w:val="1"/>
          <w:numId w:val="9"/>
        </w:numPr>
      </w:pPr>
      <w:r w:rsidRPr="004B3588">
        <w:lastRenderedPageBreak/>
        <w:t>radioprotezione e sicurezza nucleare;</w:t>
      </w:r>
    </w:p>
    <w:p w14:paraId="6A0D6954" w14:textId="319F8E3A" w:rsidR="007717CD" w:rsidRPr="007717CD" w:rsidRDefault="007717CD" w:rsidP="00C313E3">
      <w:pPr>
        <w:pStyle w:val="Paragrafoelenco"/>
        <w:numPr>
          <w:ilvl w:val="1"/>
          <w:numId w:val="9"/>
        </w:numPr>
      </w:pPr>
      <w:r w:rsidRPr="007717CD">
        <w:t xml:space="preserve">sicurezza degli alimenti e dei mangimi e salute e benessere degli animali; </w:t>
      </w:r>
    </w:p>
    <w:p w14:paraId="3F2C5164" w14:textId="350795E9" w:rsidR="007717CD" w:rsidRPr="007717CD" w:rsidRDefault="007717CD" w:rsidP="003D603D">
      <w:pPr>
        <w:pStyle w:val="Paragrafoelenco"/>
        <w:numPr>
          <w:ilvl w:val="1"/>
          <w:numId w:val="9"/>
        </w:numPr>
      </w:pPr>
      <w:r w:rsidRPr="007717CD">
        <w:rPr>
          <w:b/>
          <w:bCs/>
        </w:rPr>
        <w:t>salute pubblica</w:t>
      </w:r>
      <w:r w:rsidRPr="007717CD">
        <w:t xml:space="preserve">; </w:t>
      </w:r>
    </w:p>
    <w:p w14:paraId="556A475B" w14:textId="51886036" w:rsidR="007717CD" w:rsidRPr="007717CD" w:rsidRDefault="007717CD" w:rsidP="00DF0159">
      <w:pPr>
        <w:pStyle w:val="Paragrafoelenco"/>
        <w:numPr>
          <w:ilvl w:val="1"/>
          <w:numId w:val="9"/>
        </w:numPr>
      </w:pPr>
      <w:r w:rsidRPr="007717CD">
        <w:rPr>
          <w:b/>
          <w:bCs/>
        </w:rPr>
        <w:t>protezione dei consumatori</w:t>
      </w:r>
      <w:r w:rsidRPr="007717CD">
        <w:t>;</w:t>
      </w:r>
    </w:p>
    <w:p w14:paraId="6EBBADAC" w14:textId="694041AD" w:rsidR="007717CD" w:rsidRDefault="007717CD" w:rsidP="007717CD">
      <w:pPr>
        <w:pStyle w:val="Paragrafoelenco"/>
        <w:numPr>
          <w:ilvl w:val="1"/>
          <w:numId w:val="9"/>
        </w:numPr>
      </w:pPr>
      <w:r w:rsidRPr="009101E9">
        <w:rPr>
          <w:b/>
          <w:bCs/>
        </w:rPr>
        <w:t>tutela della vita privata e protezione dei dati personali e sicurezza delle reti e dei sistemi informativi</w:t>
      </w:r>
      <w:r w:rsidRPr="007717CD">
        <w:t>;</w:t>
      </w:r>
    </w:p>
    <w:p w14:paraId="5518955D" w14:textId="197209FC" w:rsidR="00240CE0" w:rsidRPr="00240CE0" w:rsidRDefault="00240CE0" w:rsidP="000749C9">
      <w:pPr>
        <w:pStyle w:val="Paragrafoelenco"/>
        <w:numPr>
          <w:ilvl w:val="0"/>
          <w:numId w:val="9"/>
        </w:numPr>
      </w:pPr>
      <w:r w:rsidRPr="00240CE0">
        <w:t xml:space="preserve">atti od omissioni che ledono gli interessi finanziari dell’Unione; </w:t>
      </w:r>
    </w:p>
    <w:p w14:paraId="1073BD3F" w14:textId="3AE1C0BA" w:rsidR="00240CE0" w:rsidRPr="00240CE0" w:rsidRDefault="00240CE0" w:rsidP="000749C9">
      <w:pPr>
        <w:pStyle w:val="Paragrafoelenco"/>
        <w:numPr>
          <w:ilvl w:val="0"/>
          <w:numId w:val="9"/>
        </w:numPr>
      </w:pPr>
      <w:r w:rsidRPr="00240CE0">
        <w:t xml:space="preserve">atti od omissioni riguardanti il mercato interno; </w:t>
      </w:r>
    </w:p>
    <w:p w14:paraId="74F0A45E" w14:textId="52E0B598" w:rsidR="000A7AF7" w:rsidRPr="000A7AF7" w:rsidRDefault="00240CE0" w:rsidP="0080244D">
      <w:pPr>
        <w:pStyle w:val="Paragrafoelenco"/>
        <w:numPr>
          <w:ilvl w:val="0"/>
          <w:numId w:val="9"/>
        </w:numPr>
      </w:pPr>
      <w:r w:rsidRPr="00240CE0">
        <w:t>atti o comportamenti che vanificano l’oggetto o la finalità delle disposizioni di cui agli atti dell’Unione</w:t>
      </w:r>
      <w:r w:rsidR="0089438C">
        <w:t>, quali, a</w:t>
      </w:r>
      <w:r w:rsidR="000A7AF7">
        <w:t xml:space="preserve"> titolo esemplificativo</w:t>
      </w:r>
      <w:r w:rsidR="000A7AF7" w:rsidRPr="000A7AF7">
        <w:t xml:space="preserve">: </w:t>
      </w:r>
    </w:p>
    <w:p w14:paraId="4EDEAA93" w14:textId="77777777" w:rsidR="000A7AF7" w:rsidRPr="000A7AF7" w:rsidRDefault="000A7AF7" w:rsidP="00B53FC7">
      <w:pPr>
        <w:pStyle w:val="Paragrafoelenco"/>
        <w:numPr>
          <w:ilvl w:val="0"/>
          <w:numId w:val="12"/>
        </w:numPr>
      </w:pPr>
      <w:r w:rsidRPr="000A7AF7">
        <w:t>reati ambientali, quali, scarico, emissione o altro tipo di rilascio di materiali pericolosi nell’aria, nel terreno o nell’acqua oppure raccolta, trasporto, recupero o smaltimento illecito di rifiuti pericolosi.</w:t>
      </w:r>
    </w:p>
    <w:p w14:paraId="4F42B021" w14:textId="77777777" w:rsidR="000A7AF7" w:rsidRPr="000A7AF7" w:rsidRDefault="000A7AF7" w:rsidP="00B53FC7">
      <w:pPr>
        <w:pStyle w:val="Paragrafoelenco"/>
        <w:numPr>
          <w:ilvl w:val="0"/>
          <w:numId w:val="12"/>
        </w:numPr>
      </w:pPr>
      <w:r w:rsidRPr="000A7AF7">
        <w:t>frodi, corruzione e a qualsiasi altra attività illegale connessa alle spese dell’Unione.</w:t>
      </w:r>
    </w:p>
    <w:p w14:paraId="4C6BBCF3" w14:textId="77777777" w:rsidR="000A7AF7" w:rsidRPr="000A7AF7" w:rsidRDefault="000A7AF7" w:rsidP="00B53FC7">
      <w:pPr>
        <w:pStyle w:val="Paragrafoelenco"/>
        <w:numPr>
          <w:ilvl w:val="0"/>
          <w:numId w:val="12"/>
        </w:numPr>
      </w:pPr>
      <w:r w:rsidRPr="000A7AF7">
        <w:t>le violazioni delle norme dell'UE in materia di concorrenza e di aiuti di Stato, di imposta sulle società e i meccanismi il cui fine è ottenere un vantaggio fiscale che vanifica l'oggetto o la finalità della normativa applicabile in materia di imposta sulle società.</w:t>
      </w:r>
    </w:p>
    <w:p w14:paraId="5C3CA3BF" w14:textId="77777777" w:rsidR="000A7AF7" w:rsidRPr="000A7AF7" w:rsidRDefault="000A7AF7" w:rsidP="00B53FC7">
      <w:pPr>
        <w:pStyle w:val="Paragrafoelenco"/>
        <w:numPr>
          <w:ilvl w:val="0"/>
          <w:numId w:val="12"/>
        </w:numPr>
      </w:pPr>
      <w:r w:rsidRPr="000A7AF7">
        <w:t>pratiche abusive quali definite dalla giurisprudenza della Corte di Giustizia dell’Unione europea. Ad es. Impresa che opera sul mercato in posizione dominante: pratiche abusive (adozione di prezzi cd. predatori, sconti target, vendite abbinate) contravvenendo alla tutela della libera concorrenza.</w:t>
      </w:r>
    </w:p>
    <w:p w14:paraId="126F7F7B" w14:textId="1D62BEB0" w:rsidR="000A7AF7" w:rsidRPr="00751D81" w:rsidRDefault="000A7AF7" w:rsidP="00B53FC7">
      <w:pPr>
        <w:pStyle w:val="Paragrafoelenco"/>
        <w:numPr>
          <w:ilvl w:val="0"/>
          <w:numId w:val="12"/>
        </w:numPr>
      </w:pPr>
      <w:r w:rsidRPr="000A7AF7">
        <w:t>indebita percezione di erogazioni, truffa in danno dello Stato, di un ente pubblico o dell'Unione europea o per il conseguimento di erogazioni pubbliche, frode informatica in danno dello Stato o di un ente pubblico e frode nelle pubbliche forniture, peculato, concussione, induzione indebita a dare o promettere utilità, corruzione e abuso.</w:t>
      </w:r>
    </w:p>
    <w:p w14:paraId="1D678CB1" w14:textId="2FB09CA9" w:rsidR="00D27683" w:rsidRDefault="00D27683" w:rsidP="009952E8">
      <w:pPr>
        <w:pStyle w:val="Titolo2"/>
      </w:pPr>
      <w:bookmarkStart w:id="3" w:name="_Toc144387775"/>
      <w:r>
        <w:t xml:space="preserve">2.2 Procedura di gestione della </w:t>
      </w:r>
      <w:r w:rsidR="00397E1C">
        <w:t xml:space="preserve">segnalazione </w:t>
      </w:r>
      <w:r w:rsidR="00F7091B">
        <w:t>interna</w:t>
      </w:r>
      <w:bookmarkEnd w:id="3"/>
      <w:r>
        <w:t xml:space="preserve"> </w:t>
      </w:r>
    </w:p>
    <w:p w14:paraId="1D678CB2" w14:textId="77777777" w:rsidR="00F725AE" w:rsidRPr="00F725AE" w:rsidRDefault="00F725AE" w:rsidP="00F725AE"/>
    <w:p w14:paraId="1D678CB3" w14:textId="630847D0" w:rsidR="00D27683" w:rsidRDefault="00D27683" w:rsidP="00D27683">
      <w:r>
        <w:t>Il “segnalante</w:t>
      </w:r>
      <w:r w:rsidR="00F7091B">
        <w:t>”</w:t>
      </w:r>
      <w:r>
        <w:t xml:space="preserve">, </w:t>
      </w:r>
      <w:r w:rsidR="00F7091B">
        <w:t xml:space="preserve">come individuato </w:t>
      </w:r>
      <w:r w:rsidR="008D2864">
        <w:t>all’art. 1,</w:t>
      </w:r>
      <w:r w:rsidR="00F31F1E">
        <w:t xml:space="preserve"> comma 2,</w:t>
      </w:r>
      <w:r w:rsidR="008D2864">
        <w:t xml:space="preserve"> </w:t>
      </w:r>
      <w:r>
        <w:t xml:space="preserve">è tenuto ad indicare tutti gli elementi utili a consentire agli uffici competenti, ed in particolare al RPCT, di procedere alle dovute ed appropriate verifiche e controlli a riscontro della fondatezza dei fatti che sono ricompresi nell’oggetto della segnalazione. </w:t>
      </w:r>
    </w:p>
    <w:p w14:paraId="1D678CB4" w14:textId="77777777" w:rsidR="00D27683" w:rsidRDefault="00D27683" w:rsidP="00D27683">
      <w:r>
        <w:t xml:space="preserve">A tal fine, la segnalazione deve contenere almeno i seguenti elementi: </w:t>
      </w:r>
    </w:p>
    <w:p w14:paraId="1D678CB5" w14:textId="77777777" w:rsidR="00D27683" w:rsidRDefault="00D27683" w:rsidP="00F725AE">
      <w:pPr>
        <w:ind w:left="708"/>
      </w:pPr>
      <w:r>
        <w:t xml:space="preserve">a) nome e cognome del soggetto che effettua la segnalazione (“segnalante”); </w:t>
      </w:r>
    </w:p>
    <w:p w14:paraId="1D678CB6" w14:textId="77777777" w:rsidR="00D27683" w:rsidRDefault="00D27683" w:rsidP="00F725AE">
      <w:pPr>
        <w:ind w:left="708"/>
      </w:pPr>
      <w:r>
        <w:t xml:space="preserve">b) la data e/o il periodo in cui si è verificato il fatto; </w:t>
      </w:r>
    </w:p>
    <w:p w14:paraId="1D678CB7" w14:textId="77777777" w:rsidR="00D27683" w:rsidRDefault="00D27683" w:rsidP="00F725AE">
      <w:pPr>
        <w:ind w:left="708"/>
      </w:pPr>
      <w:r>
        <w:t xml:space="preserve">c) il luogo fisico in cui si è verificato il fatto; </w:t>
      </w:r>
    </w:p>
    <w:p w14:paraId="1D678CB8" w14:textId="77777777" w:rsidR="00D27683" w:rsidRDefault="00D27683" w:rsidP="00F725AE">
      <w:pPr>
        <w:ind w:left="708"/>
      </w:pPr>
      <w:r>
        <w:t xml:space="preserve">d) una valutazione del segnalante circa il fatto che lo stesso ritenga che le azioni od omissioni commesse siano: </w:t>
      </w:r>
    </w:p>
    <w:p w14:paraId="1D678CB9" w14:textId="77777777" w:rsidR="00D27683" w:rsidRDefault="00D27683" w:rsidP="00F725AE">
      <w:pPr>
        <w:ind w:left="1416"/>
      </w:pPr>
      <w:r>
        <w:t xml:space="preserve">- penalmente rilevanti </w:t>
      </w:r>
    </w:p>
    <w:p w14:paraId="1D678CBA" w14:textId="77777777" w:rsidR="00D27683" w:rsidRDefault="00D27683" w:rsidP="00F725AE">
      <w:pPr>
        <w:ind w:left="1416"/>
      </w:pPr>
      <w:r>
        <w:t xml:space="preserve">- poste in essere in violazione dei Codici di Comportamento o di altre disposizioni sanzionabili in via disciplinare; </w:t>
      </w:r>
    </w:p>
    <w:p w14:paraId="1D678CBB" w14:textId="77777777" w:rsidR="00D27683" w:rsidRDefault="00D27683" w:rsidP="00F725AE">
      <w:pPr>
        <w:ind w:left="1416"/>
      </w:pPr>
      <w:r>
        <w:lastRenderedPageBreak/>
        <w:t xml:space="preserve">- suscettibili di arrecare un pregiudizio patrimoniale alla PA o agli ospiti; </w:t>
      </w:r>
    </w:p>
    <w:p w14:paraId="1D678CBC" w14:textId="77777777" w:rsidR="00D27683" w:rsidRDefault="00D27683" w:rsidP="00F725AE">
      <w:pPr>
        <w:ind w:left="1416"/>
      </w:pPr>
      <w:r>
        <w:t xml:space="preserve">- suscettibili di arrecare un pregiudizio all’immagine; </w:t>
      </w:r>
    </w:p>
    <w:p w14:paraId="1D678CBD" w14:textId="77777777" w:rsidR="00D27683" w:rsidRDefault="00D27683" w:rsidP="00746D4E">
      <w:pPr>
        <w:ind w:left="708"/>
      </w:pPr>
      <w:r>
        <w:t xml:space="preserve">e) descrizione del fatto; </w:t>
      </w:r>
    </w:p>
    <w:p w14:paraId="1D678CBE" w14:textId="77777777" w:rsidR="00D27683" w:rsidRDefault="00D27683" w:rsidP="00746D4E">
      <w:pPr>
        <w:ind w:left="708"/>
      </w:pPr>
      <w:r>
        <w:t xml:space="preserve">f) autore/i del fatto; </w:t>
      </w:r>
    </w:p>
    <w:p w14:paraId="1D678CBF" w14:textId="77777777" w:rsidR="00D27683" w:rsidRDefault="00D27683" w:rsidP="00746D4E">
      <w:pPr>
        <w:ind w:left="708"/>
      </w:pPr>
      <w:r>
        <w:t xml:space="preserve">g) altri eventuali soggetti a conoscenza del fatto e/o in grado di riferire sul medesimo; </w:t>
      </w:r>
    </w:p>
    <w:p w14:paraId="1D678CC0" w14:textId="77777777" w:rsidR="00D27683" w:rsidRDefault="00D27683" w:rsidP="00746D4E">
      <w:pPr>
        <w:ind w:left="708"/>
      </w:pPr>
      <w:r>
        <w:t xml:space="preserve">h) eventuali allegati a sostegno della segnalazione; </w:t>
      </w:r>
    </w:p>
    <w:p w14:paraId="1D678CC1" w14:textId="77777777" w:rsidR="00D27683" w:rsidRDefault="00D27683" w:rsidP="00746D4E">
      <w:pPr>
        <w:ind w:left="708"/>
      </w:pPr>
      <w:r>
        <w:t xml:space="preserve">i) ogni altra informazione che possa fornire un utile riscontro circa la sussistenza dei fatti segnalati. </w:t>
      </w:r>
    </w:p>
    <w:p w14:paraId="0BC78A78" w14:textId="1E7B2375" w:rsidR="00DD3689" w:rsidRDefault="00DD3689" w:rsidP="00D27683">
      <w:r w:rsidRPr="005531FB">
        <w:t xml:space="preserve">L’Azienda ha </w:t>
      </w:r>
      <w:r w:rsidR="00F4041D" w:rsidRPr="005531FB">
        <w:t>adottato un procedimento informatico di segnalazione</w:t>
      </w:r>
      <w:r w:rsidR="003371DA" w:rsidRPr="005531FB">
        <w:t xml:space="preserve">, che garantisce al segnalante </w:t>
      </w:r>
      <w:r w:rsidR="00617068" w:rsidRPr="005531FB">
        <w:t>la dovuta riservatezza e il necessario feedback sugli esiti dell’istruttoria</w:t>
      </w:r>
      <w:r w:rsidR="00CC5C96" w:rsidRPr="005531FB">
        <w:t xml:space="preserve">, reperibile </w:t>
      </w:r>
      <w:r w:rsidR="00A02BBC" w:rsidRPr="005531FB">
        <w:t xml:space="preserve">nella </w:t>
      </w:r>
      <w:r w:rsidR="005531FB" w:rsidRPr="005531FB">
        <w:t>sotto</w:t>
      </w:r>
      <w:r w:rsidR="00A02BBC" w:rsidRPr="005531FB">
        <w:t>sezione “</w:t>
      </w:r>
      <w:r w:rsidR="00BA2BC6">
        <w:t>Whistleblower</w:t>
      </w:r>
      <w:r w:rsidR="005531FB">
        <w:t xml:space="preserve">” </w:t>
      </w:r>
      <w:r w:rsidR="005531FB" w:rsidRPr="005531FB">
        <w:t>dell’Amministrazione Trasparente.</w:t>
      </w:r>
    </w:p>
    <w:p w14:paraId="1D678CC2" w14:textId="61425DEB" w:rsidR="00D27683" w:rsidRDefault="00D27683" w:rsidP="00D27683">
      <w:r>
        <w:t>In alternativa può effettuare la medesima segnalazione di persona, formalizzandola per iscritto in presenza del Responsabile Anticorruzione, il quale in questo caso rilascerà una fotocopia sottoscritta per ricevuta.</w:t>
      </w:r>
    </w:p>
    <w:p w14:paraId="1D678CC3" w14:textId="77777777" w:rsidR="00D27683" w:rsidRDefault="00D27683" w:rsidP="00D27683">
      <w:r>
        <w:t>Alle segnalazioni informatiche potrà accedere con credenziali riservate e personali esclusivamente il “RPCT”.</w:t>
      </w:r>
      <w:r w:rsidR="009952E8">
        <w:t xml:space="preserve"> </w:t>
      </w:r>
      <w:r>
        <w:t>La segnalazione ricevuta sarà protocollata in modalità riservata e custodita ai sensi di legge, in modo</w:t>
      </w:r>
      <w:r w:rsidR="009952E8">
        <w:t xml:space="preserve"> </w:t>
      </w:r>
      <w:r>
        <w:t>da garantire la massima sicurezza, riservatezza e anonimato.</w:t>
      </w:r>
    </w:p>
    <w:p w14:paraId="59251556" w14:textId="13A2E2DE" w:rsidR="003104FC" w:rsidRDefault="003104FC" w:rsidP="003104FC">
      <w:r>
        <w:t>Una volta ricevut</w:t>
      </w:r>
      <w:r w:rsidR="00A90C2A">
        <w:t>a la segnalazione, i</w:t>
      </w:r>
      <w:r w:rsidRPr="00494882">
        <w:t>l R</w:t>
      </w:r>
      <w:r>
        <w:t xml:space="preserve">esponsabile per la </w:t>
      </w:r>
      <w:r w:rsidRPr="00494882">
        <w:t>P</w:t>
      </w:r>
      <w:r>
        <w:t xml:space="preserve">revenzione della </w:t>
      </w:r>
      <w:r w:rsidRPr="00494882">
        <w:t>C</w:t>
      </w:r>
      <w:r>
        <w:t xml:space="preserve">orruzione e per la </w:t>
      </w:r>
      <w:r w:rsidRPr="00494882">
        <w:t>T</w:t>
      </w:r>
      <w:r>
        <w:t xml:space="preserve">rasparenza: </w:t>
      </w:r>
    </w:p>
    <w:p w14:paraId="7EB06E7D" w14:textId="77777777" w:rsidR="003104FC" w:rsidRPr="005A1F73" w:rsidRDefault="003104FC" w:rsidP="003104FC">
      <w:pPr>
        <w:pStyle w:val="Paragrafoelenco"/>
        <w:numPr>
          <w:ilvl w:val="0"/>
          <w:numId w:val="14"/>
        </w:numPr>
      </w:pPr>
      <w:r w:rsidRPr="005A1F73">
        <w:t xml:space="preserve">rilascia alla persona segnalante avviso di ricevimento della segnalazione </w:t>
      </w:r>
      <w:r w:rsidRPr="00636BCB">
        <w:rPr>
          <w:b/>
          <w:bCs/>
        </w:rPr>
        <w:t>entro sette giorni</w:t>
      </w:r>
      <w:r w:rsidRPr="005A1F73">
        <w:t xml:space="preserve"> dalla data di ricezione;</w:t>
      </w:r>
    </w:p>
    <w:p w14:paraId="518BA0FA" w14:textId="77777777" w:rsidR="003104FC" w:rsidRPr="005A1F73" w:rsidRDefault="003104FC" w:rsidP="003104FC">
      <w:pPr>
        <w:pStyle w:val="Paragrafoelenco"/>
        <w:numPr>
          <w:ilvl w:val="0"/>
          <w:numId w:val="14"/>
        </w:numPr>
      </w:pPr>
      <w:r w:rsidRPr="005A1F73">
        <w:t>mant</w:t>
      </w:r>
      <w:r>
        <w:t>iene</w:t>
      </w:r>
      <w:r w:rsidRPr="005A1F73">
        <w:t xml:space="preserve"> le interlocuzioni con la persona segnalante e p</w:t>
      </w:r>
      <w:r>
        <w:t>uò</w:t>
      </w:r>
      <w:r w:rsidRPr="005A1F73">
        <w:t xml:space="preserve"> richiedere a quest'ultima, se</w:t>
      </w:r>
      <w:r>
        <w:t xml:space="preserve"> </w:t>
      </w:r>
      <w:r w:rsidRPr="005A1F73">
        <w:t>necessario,</w:t>
      </w:r>
      <w:r>
        <w:t xml:space="preserve"> </w:t>
      </w:r>
      <w:r w:rsidRPr="005A1F73">
        <w:t>integrazioni;</w:t>
      </w:r>
    </w:p>
    <w:p w14:paraId="74AB827D" w14:textId="77777777" w:rsidR="003104FC" w:rsidRDefault="003104FC" w:rsidP="003104FC">
      <w:pPr>
        <w:pStyle w:val="Paragrafoelenco"/>
        <w:numPr>
          <w:ilvl w:val="0"/>
          <w:numId w:val="14"/>
        </w:numPr>
      </w:pPr>
      <w:r>
        <w:t>si attiva per</w:t>
      </w:r>
      <w:r w:rsidRPr="005A1F73">
        <w:t xml:space="preserve"> </w:t>
      </w:r>
      <w:r>
        <w:t xml:space="preserve">dare </w:t>
      </w:r>
      <w:r w:rsidRPr="005A1F73">
        <w:t>seguito alle segnalazioni ricevute</w:t>
      </w:r>
      <w:r>
        <w:t>;</w:t>
      </w:r>
      <w:r w:rsidRPr="005A1F73">
        <w:t xml:space="preserve"> </w:t>
      </w:r>
      <w:r w:rsidRPr="00494882">
        <w:t xml:space="preserve"> </w:t>
      </w:r>
    </w:p>
    <w:p w14:paraId="72B9F649" w14:textId="62870284" w:rsidR="003104FC" w:rsidRDefault="003104FC" w:rsidP="003104FC">
      <w:pPr>
        <w:pStyle w:val="Paragrafoelenco"/>
        <w:numPr>
          <w:ilvl w:val="0"/>
          <w:numId w:val="14"/>
        </w:numPr>
      </w:pPr>
      <w:r>
        <w:t xml:space="preserve">fornisce </w:t>
      </w:r>
      <w:r w:rsidRPr="00494882">
        <w:t xml:space="preserve">riscontro alla segnalazione </w:t>
      </w:r>
      <w:r w:rsidRPr="00D03A1D">
        <w:rPr>
          <w:b/>
          <w:bCs/>
        </w:rPr>
        <w:t>entro tre mesi</w:t>
      </w:r>
      <w:r w:rsidRPr="00494882">
        <w:t xml:space="preserve"> dalla data dell'avviso di ricevimento o, </w:t>
      </w:r>
      <w:r w:rsidR="002B6E08" w:rsidRPr="00494882">
        <w:t>in mancanza</w:t>
      </w:r>
      <w:r w:rsidRPr="00494882">
        <w:t xml:space="preserve"> di tale avviso, entro tre mesi dalla scadenza del termine di sette giorni dalla </w:t>
      </w:r>
      <w:r w:rsidR="002B6E08" w:rsidRPr="00494882">
        <w:t>presentazione della</w:t>
      </w:r>
      <w:r w:rsidRPr="00494882">
        <w:t xml:space="preserve"> segnalazione.</w:t>
      </w:r>
    </w:p>
    <w:p w14:paraId="658E57AC" w14:textId="56A0FE75" w:rsidR="00BD4C3E" w:rsidRDefault="00BD4C3E" w:rsidP="00BD4C3E">
      <w:r w:rsidRPr="003F2E3C">
        <w:t xml:space="preserve">Le segnalazioni e la relativa documentazione sono conservate per il tempo necessario al trattamento della segnalazione e </w:t>
      </w:r>
      <w:r w:rsidRPr="003F2E3C">
        <w:rPr>
          <w:b/>
          <w:bCs/>
        </w:rPr>
        <w:t>comunque non oltre cinque anni</w:t>
      </w:r>
      <w:r w:rsidRPr="003F2E3C">
        <w:t xml:space="preserve"> </w:t>
      </w:r>
      <w:r w:rsidR="002B6E08" w:rsidRPr="003F2E3C">
        <w:t>a decorrere</w:t>
      </w:r>
      <w:r w:rsidRPr="003F2E3C">
        <w:t xml:space="preserve"> dalla data della comunicazione dell'esito finale della procedura di </w:t>
      </w:r>
      <w:r w:rsidR="007E765C" w:rsidRPr="003F2E3C">
        <w:t>segnalazione nel</w:t>
      </w:r>
      <w:r w:rsidRPr="003F2E3C">
        <w:t xml:space="preserve"> rispetto degli obblighi di riservatezza del regolamento (UE) 2016/679</w:t>
      </w:r>
      <w:r>
        <w:t>.</w:t>
      </w:r>
    </w:p>
    <w:p w14:paraId="0DDD30C6" w14:textId="2608971F" w:rsidR="00093A0A" w:rsidRDefault="00093A0A" w:rsidP="00BD4C3E">
      <w:r>
        <w:t>Sul trattamento dei dati personali contenuti nell</w:t>
      </w:r>
      <w:r w:rsidR="00423E35">
        <w:t xml:space="preserve">a segnalazione, l’azienda predispone apposita informativa </w:t>
      </w:r>
      <w:r w:rsidR="00AF1B86">
        <w:t>pubblicata nella sezione Amministrazione Trasparente.</w:t>
      </w:r>
    </w:p>
    <w:p w14:paraId="059118B2" w14:textId="472EB23C" w:rsidR="005E6CA6" w:rsidRDefault="005E6CA6" w:rsidP="005E6CA6">
      <w:r>
        <w:t xml:space="preserve">Qualora </w:t>
      </w:r>
      <w:r w:rsidR="001446B9">
        <w:t xml:space="preserve">la segnalazione </w:t>
      </w:r>
      <w:r>
        <w:t>fosse costituit</w:t>
      </w:r>
      <w:r w:rsidR="001446B9">
        <w:t>a</w:t>
      </w:r>
      <w:r>
        <w:t xml:space="preserve"> da documenti cartacei, si provvederà alla custodia e conservazione in apposito armadio chiuso a chiave situato presso l'ufficio del “RPCT” e accessibile solo allo stesso.</w:t>
      </w:r>
      <w:r w:rsidRPr="00BD4C3E">
        <w:t xml:space="preserve"> </w:t>
      </w:r>
    </w:p>
    <w:p w14:paraId="1D678CC5" w14:textId="77777777" w:rsidR="00D27683" w:rsidRDefault="00D27683" w:rsidP="00D27683">
      <w:r>
        <w:t xml:space="preserve">La valutazione del RPCT dovrà concludersi entro al massimo </w:t>
      </w:r>
      <w:r w:rsidRPr="00746D4E">
        <w:rPr>
          <w:b/>
        </w:rPr>
        <w:t>60 GG dalla data di inoltro</w:t>
      </w:r>
      <w:r>
        <w:t xml:space="preserve"> o consegna della segnalazione. </w:t>
      </w:r>
      <w:r w:rsidR="00746D4E">
        <w:t>Al segnalante è dovuto un feedback al termine dell’istruttoria.</w:t>
      </w:r>
    </w:p>
    <w:p w14:paraId="1D678CC6" w14:textId="77777777" w:rsidR="009952E8" w:rsidRDefault="009952E8" w:rsidP="00D27683"/>
    <w:p w14:paraId="1D678CC7" w14:textId="77777777" w:rsidR="00746D4E" w:rsidRDefault="00D27683" w:rsidP="009952E8">
      <w:pPr>
        <w:pStyle w:val="Titolo2"/>
      </w:pPr>
      <w:bookmarkStart w:id="4" w:name="_Toc144387776"/>
      <w:r>
        <w:lastRenderedPageBreak/>
        <w:t>2.3 Condizioni di tutela</w:t>
      </w:r>
      <w:bookmarkEnd w:id="4"/>
    </w:p>
    <w:p w14:paraId="1D678CC8" w14:textId="77777777" w:rsidR="00D27683" w:rsidRDefault="00D27683" w:rsidP="009952E8">
      <w:pPr>
        <w:pStyle w:val="Titolo2"/>
      </w:pPr>
      <w:r>
        <w:t xml:space="preserve"> </w:t>
      </w:r>
    </w:p>
    <w:p w14:paraId="1D678CC9" w14:textId="78681312" w:rsidR="00D27683" w:rsidRDefault="001A125F" w:rsidP="00D27683">
      <w:r>
        <w:t>Chi</w:t>
      </w:r>
      <w:r w:rsidR="00D27683">
        <w:t xml:space="preserve"> segnala condotte illecite è tenuto esente da conseguenze pregiudizievoli in ambito disciplinare e/o contrattuale e tutelato in caso di adozione di «misure </w:t>
      </w:r>
      <w:r w:rsidR="007C570F">
        <w:t>ritorsive</w:t>
      </w:r>
      <w:r w:rsidR="00D27683">
        <w:t xml:space="preserve">». </w:t>
      </w:r>
    </w:p>
    <w:p w14:paraId="1D678CCA" w14:textId="3E7496E8" w:rsidR="00D27683" w:rsidRDefault="00D27683" w:rsidP="00D27683">
      <w:r>
        <w:t xml:space="preserve">La norma, in sostanza, è volta a proteggere il </w:t>
      </w:r>
      <w:r w:rsidR="001A7063">
        <w:t>segnalante</w:t>
      </w:r>
      <w:r>
        <w:t xml:space="preserve"> che, per via della propria segnalazione, rischi di vedere compromesse le proprie condizioni di lavoro. Nei suoi confronti non possono essere adottate misure disciplinari/contrattuali ed organizzative in generale che possano incidere negativamente (in modo diretto o indiretto) sulle sue condizioni di lavoro. </w:t>
      </w:r>
    </w:p>
    <w:p w14:paraId="1D678CCB" w14:textId="10F8BA0E" w:rsidR="00D27683" w:rsidRDefault="00053C5A" w:rsidP="00D27683">
      <w:r>
        <w:t>L</w:t>
      </w:r>
      <w:r w:rsidR="00D27683">
        <w:t xml:space="preserve">’identità del segnalante </w:t>
      </w:r>
      <w:r w:rsidR="00746D4E">
        <w:t>è riservata</w:t>
      </w:r>
      <w:r w:rsidR="00D27683">
        <w:t xml:space="preserve">. </w:t>
      </w:r>
    </w:p>
    <w:p w14:paraId="2E26005B" w14:textId="77777777" w:rsidR="00CE7711" w:rsidRPr="00CE7711" w:rsidRDefault="00CE7711" w:rsidP="00CE7711">
      <w:r w:rsidRPr="00CE7711">
        <w:t>La riservatezza, oltre che all’identità del segnalante, viene garantita anche a qualsiasi altra informazione o elemento della segnalazione dal cui disvelamento si possa dedurre direttamente o indirettamente l’identità del segnalante.</w:t>
      </w:r>
    </w:p>
    <w:p w14:paraId="02E879E8" w14:textId="1E047670" w:rsidR="00CE7711" w:rsidRPr="00CE7711" w:rsidRDefault="00CE7711" w:rsidP="00CE7711">
      <w:r w:rsidRPr="00CE7711">
        <w:t>La riservatezza viene garantita anche nel caso di segnalazioni - interne o esterne - effettuate in forma orale mediante un incontro diretto con chi tratta la segnalazione.</w:t>
      </w:r>
    </w:p>
    <w:p w14:paraId="2B995A67" w14:textId="2F6AF1BC" w:rsidR="00CE7711" w:rsidRPr="00CE7711" w:rsidRDefault="00CE7711" w:rsidP="00CE7711">
      <w:r w:rsidRPr="00CE7711">
        <w:t xml:space="preserve">Si tutela la riservatezza del segnalante anche quando la segnalazione viene effettuata attraverso modalità diverse da quelle </w:t>
      </w:r>
      <w:r w:rsidR="00B06B35" w:rsidRPr="000254D3">
        <w:t xml:space="preserve">previste dal presente </w:t>
      </w:r>
      <w:r w:rsidR="00034FEF" w:rsidRPr="000254D3">
        <w:t>Protocollo operativo,</w:t>
      </w:r>
      <w:r w:rsidRPr="00CE7711">
        <w:t xml:space="preserve"> o perviene a personale diverso da quello autorizzato e competente a gestire le segnalazioni, al quale, comunque, le stesse vanno trasmesse senza ritardo</w:t>
      </w:r>
      <w:r w:rsidR="003C6140" w:rsidRPr="000254D3">
        <w:t>.</w:t>
      </w:r>
    </w:p>
    <w:p w14:paraId="352DDFD6" w14:textId="4E699D11" w:rsidR="00CE7711" w:rsidRPr="00CE7711" w:rsidRDefault="00CE7711" w:rsidP="00CE7711">
      <w:r w:rsidRPr="00CE7711">
        <w:t>In due casi espressamente previsti dal</w:t>
      </w:r>
      <w:r w:rsidR="003C6140" w:rsidRPr="000254D3">
        <w:t>la norma</w:t>
      </w:r>
      <w:r w:rsidRPr="00CE7711">
        <w:t xml:space="preserve">, per rivelare l’identità del segnalante, </w:t>
      </w:r>
      <w:r w:rsidRPr="00C3662C">
        <w:rPr>
          <w:b/>
          <w:bCs/>
        </w:rPr>
        <w:t>oltre al consenso espresso dello stesso</w:t>
      </w:r>
      <w:r w:rsidRPr="00CE7711">
        <w:t>, si richiede anche una comunicazione scritta delle ragioni di tale rivelazione:</w:t>
      </w:r>
    </w:p>
    <w:p w14:paraId="3BF0EAFC" w14:textId="77777777" w:rsidR="00CE7711" w:rsidRPr="000254D3" w:rsidRDefault="00CE7711" w:rsidP="003C6140">
      <w:pPr>
        <w:pStyle w:val="Paragrafoelenco"/>
        <w:numPr>
          <w:ilvl w:val="0"/>
          <w:numId w:val="16"/>
        </w:numPr>
      </w:pPr>
      <w:r w:rsidRPr="000254D3">
        <w:t>nel procedimento disciplinare laddove il disvelamento dell’identità del segnalante sia indispensabile per la difesa del soggetto a cui viene contestato l’addebito disciplinare;</w:t>
      </w:r>
    </w:p>
    <w:p w14:paraId="2637B620" w14:textId="77777777" w:rsidR="003C6140" w:rsidRPr="000254D3" w:rsidRDefault="00CE7711" w:rsidP="003C6140">
      <w:pPr>
        <w:pStyle w:val="Paragrafoelenco"/>
        <w:numPr>
          <w:ilvl w:val="0"/>
          <w:numId w:val="16"/>
        </w:numPr>
      </w:pPr>
      <w:r w:rsidRPr="000254D3">
        <w:t>nei procedimenti instaurati in seguito a segnalazioni interne o esterne laddove tale rivelazione sia indispensabile anche ai fini della difesa della persona coinvolta.</w:t>
      </w:r>
    </w:p>
    <w:p w14:paraId="1D678CD2" w14:textId="06EBAECC" w:rsidR="00D27683" w:rsidRDefault="00D27683" w:rsidP="003C6140">
      <w:r>
        <w:t>Pertanto</w:t>
      </w:r>
      <w:r w:rsidR="0033188E">
        <w:t>,</w:t>
      </w:r>
      <w:r>
        <w:t xml:space="preserve"> coloro che ricevono o sono coinvolti nella gestione della segnalazione, anche solo</w:t>
      </w:r>
      <w:r w:rsidR="00746D4E">
        <w:t xml:space="preserve"> </w:t>
      </w:r>
      <w:r>
        <w:t xml:space="preserve">accidentalmente, sono tenuti a tutelare la riservatezza di tale informazione. </w:t>
      </w:r>
      <w:r w:rsidR="00746D4E">
        <w:t xml:space="preserve">Qualora si trattasse di soggetti esterni, deve essere garantita la loro riservatezza tramite appositi strumenti contrattuali.  </w:t>
      </w:r>
      <w:r>
        <w:t>La violazione dell’obbligo di riservatezza è fonte di responsabilità disciplinare</w:t>
      </w:r>
      <w:r w:rsidR="00746D4E">
        <w:t xml:space="preserve"> e/o contrattuale</w:t>
      </w:r>
      <w:r>
        <w:t>, fatte salve ulteriori forme di responsabilità previste dal</w:t>
      </w:r>
      <w:r w:rsidR="00C976FF">
        <w:t xml:space="preserve"> </w:t>
      </w:r>
      <w:r w:rsidR="008B0EA8">
        <w:t>D. Lgs</w:t>
      </w:r>
      <w:r w:rsidR="00C976FF">
        <w:t>.24/2013</w:t>
      </w:r>
      <w:r>
        <w:t>.</w:t>
      </w:r>
    </w:p>
    <w:p w14:paraId="1D678CD3" w14:textId="5BBDC99B" w:rsidR="00D27683" w:rsidRDefault="00D27683" w:rsidP="00D27683">
      <w:r>
        <w:t>La segnalazione è sottratta all’accesso</w:t>
      </w:r>
      <w:r w:rsidR="00746D4E">
        <w:t xml:space="preserve"> sia amministrativo che generalizzato. </w:t>
      </w:r>
    </w:p>
    <w:p w14:paraId="1D678CD4" w14:textId="77777777" w:rsidR="00746D4E" w:rsidRDefault="00746D4E" w:rsidP="009952E8">
      <w:pPr>
        <w:pStyle w:val="Titolo2"/>
      </w:pPr>
    </w:p>
    <w:p w14:paraId="1D678CD5" w14:textId="77777777" w:rsidR="00D27683" w:rsidRDefault="00D27683" w:rsidP="009952E8">
      <w:pPr>
        <w:pStyle w:val="Titolo2"/>
      </w:pPr>
      <w:bookmarkStart w:id="5" w:name="_Toc144387777"/>
      <w:r>
        <w:t>2.4 Segnalazioni anonime</w:t>
      </w:r>
      <w:bookmarkEnd w:id="5"/>
      <w:r>
        <w:t xml:space="preserve"> </w:t>
      </w:r>
    </w:p>
    <w:p w14:paraId="1D678CD6" w14:textId="77777777" w:rsidR="00746D4E" w:rsidRPr="00746D4E" w:rsidRDefault="00746D4E" w:rsidP="00746D4E"/>
    <w:p w14:paraId="1D678CD7" w14:textId="77777777" w:rsidR="00D27683" w:rsidRDefault="00D27683" w:rsidP="00D27683">
      <w:r>
        <w:t xml:space="preserve">Le segnalazioni anonime, e cioè quelle prive di elementi che consentano l’inequivocabile identificazione dell’autore, non vengono di norma prese in considerazione. </w:t>
      </w:r>
    </w:p>
    <w:p w14:paraId="1D678CD8" w14:textId="77777777" w:rsidR="00D27683" w:rsidRDefault="00D27683" w:rsidP="00D27683">
      <w:r>
        <w:lastRenderedPageBreak/>
        <w:t xml:space="preserve">Possono costituire eccezione le segnalazioni relative a fatti di particolare gravità e con un contenuto che risulti adeguatamente dettagliato, circostanziato e comprovato. </w:t>
      </w:r>
    </w:p>
    <w:p w14:paraId="1D678CDA" w14:textId="77777777" w:rsidR="00D27683" w:rsidRDefault="00D27683" w:rsidP="00D27683">
      <w:r>
        <w:t xml:space="preserve">Resta fermo il fatto che chiunque riceva la segnalazione dovrà attenersi alle norme descritte nel codice di comportamento aziendale. </w:t>
      </w:r>
    </w:p>
    <w:p w14:paraId="1D678CDC" w14:textId="77777777" w:rsidR="00D27683" w:rsidRDefault="00D27683" w:rsidP="00D27683"/>
    <w:p w14:paraId="1D678CDD" w14:textId="77777777" w:rsidR="00D27683" w:rsidRDefault="00D27683" w:rsidP="009952E8">
      <w:pPr>
        <w:pStyle w:val="Titolo2"/>
      </w:pPr>
      <w:bookmarkStart w:id="6" w:name="_Toc144387778"/>
      <w:r>
        <w:t xml:space="preserve">2.5 Segnalazioni </w:t>
      </w:r>
      <w:r w:rsidR="005025AB">
        <w:t>ordinarie</w:t>
      </w:r>
      <w:bookmarkEnd w:id="6"/>
      <w:r>
        <w:t xml:space="preserve"> </w:t>
      </w:r>
    </w:p>
    <w:p w14:paraId="1D678CDE" w14:textId="77777777" w:rsidR="00746D4E" w:rsidRPr="00746D4E" w:rsidRDefault="00746D4E" w:rsidP="00746D4E"/>
    <w:p w14:paraId="1D678CDF" w14:textId="77777777" w:rsidR="00D27683" w:rsidRDefault="00D27683" w:rsidP="00D27683">
      <w:r>
        <w:t xml:space="preserve">Il RPCT prende in considerazione anche segnalazioni effettuate con modalità diverse rispetto a quelle previste al punto n. 2. </w:t>
      </w:r>
    </w:p>
    <w:p w14:paraId="1D678CE0" w14:textId="77777777" w:rsidR="00D27683" w:rsidRDefault="00D27683" w:rsidP="00D27683">
      <w:r>
        <w:t>Le denunce</w:t>
      </w:r>
      <w:r w:rsidR="005025AB">
        <w:t xml:space="preserve"> e segnalazioni</w:t>
      </w:r>
      <w:r>
        <w:t xml:space="preserve">, infatti, potranno essere presentate con qualsiasi forma anche presso il superiore gerarchico, come previsto dal vigente codice di comportamento. Il responsabile che riceve la segnalazione avrà cura di seguire le disposizioni del codice ed in ultimo condividere la segnalazione con il RPCT. </w:t>
      </w:r>
    </w:p>
    <w:p w14:paraId="1D678CE1" w14:textId="77777777" w:rsidR="00D27683" w:rsidRDefault="00D27683" w:rsidP="00D27683">
      <w:r>
        <w:t>Si applica quanto previsto ai punti precedenti circa il contenuto delle segnalazioni.</w:t>
      </w:r>
    </w:p>
    <w:p w14:paraId="1D678CE2" w14:textId="77777777" w:rsidR="00D27683" w:rsidRDefault="00D27683" w:rsidP="00D27683">
      <w:r>
        <w:t>In caso di segnalazioni non anonime, dovrà esser garantita, da parte del Responsabile ricevente e del RPCT un livello di tutela della riservatezza della identità del segnalante non inferiore a quella prevista per il Whistleblower.</w:t>
      </w:r>
    </w:p>
    <w:p w14:paraId="1D678CE3" w14:textId="77777777" w:rsidR="00D27683" w:rsidRDefault="009952E8" w:rsidP="009952E8">
      <w:pPr>
        <w:pStyle w:val="Titolo1"/>
      </w:pPr>
      <w:bookmarkStart w:id="7" w:name="_Toc144387779"/>
      <w:r>
        <w:t>3.</w:t>
      </w:r>
      <w:r w:rsidR="00D27683">
        <w:t xml:space="preserve"> Segnalazione di misure discriminatorie o ritorsive</w:t>
      </w:r>
      <w:bookmarkEnd w:id="7"/>
    </w:p>
    <w:p w14:paraId="1D678CE4" w14:textId="77777777" w:rsidR="005025AB" w:rsidRPr="005025AB" w:rsidRDefault="005025AB" w:rsidP="005025AB"/>
    <w:p w14:paraId="1D678CE6" w14:textId="07299FBF" w:rsidR="00D27683" w:rsidRDefault="00D27683" w:rsidP="00D27683">
      <w:r>
        <w:t xml:space="preserve">I dipendenti che segnalano all’Autorità Giudiziaria, alla Corte dei Conti, all'Autorità Nazionale Anticorruzione (ANAC), o al “Responsabile” condotte illecite di cui siano venuti a conoscenza in ragione del rapporto di lavoro, non possono </w:t>
      </w:r>
      <w:r w:rsidRPr="0089463B">
        <w:t>essere</w:t>
      </w:r>
      <w:r w:rsidR="00631A36" w:rsidRPr="0089463B">
        <w:t xml:space="preserve"> oggetto di misure </w:t>
      </w:r>
      <w:r w:rsidR="004C2900" w:rsidRPr="0089463B">
        <w:t>qualificabili come ritorsive.</w:t>
      </w:r>
      <w:r w:rsidR="004C2900" w:rsidRPr="0089463B">
        <w:rPr>
          <w:rFonts w:ascii="Lora" w:eastAsiaTheme="minorEastAsia" w:hAnsi="Lora"/>
          <w:color w:val="5B6F82"/>
          <w:kern w:val="24"/>
          <w:sz w:val="36"/>
          <w:szCs w:val="36"/>
          <w:lang w:eastAsia="it-IT"/>
        </w:rPr>
        <w:t xml:space="preserve"> </w:t>
      </w:r>
      <w:r w:rsidR="00443859" w:rsidRPr="0089463B">
        <w:t>Si intende come ritorsivo</w:t>
      </w:r>
      <w:r w:rsidR="00431FD3" w:rsidRPr="0089463B">
        <w:t xml:space="preserve"> q</w:t>
      </w:r>
      <w:r w:rsidR="004C2900" w:rsidRPr="0089463B">
        <w:t>ualsiasi comportamento, atto od omissione,</w:t>
      </w:r>
      <w:r w:rsidR="00632517" w:rsidRPr="0089463B">
        <w:rPr>
          <w:rStyle w:val="Rimandonotaapidipagina"/>
        </w:rPr>
        <w:footnoteReference w:id="1"/>
      </w:r>
      <w:r w:rsidR="004C2900" w:rsidRPr="0089463B">
        <w:t xml:space="preserve"> </w:t>
      </w:r>
      <w:r w:rsidR="004C2900" w:rsidRPr="004C2900">
        <w:t xml:space="preserve">anche solo tentato o minacciato, posto in essere in ragione della segnalazione, della denuncia all’autorità giudiziaria o contabile, o della divulgazione pubblica </w:t>
      </w:r>
      <w:r w:rsidR="004C2900" w:rsidRPr="0089463B">
        <w:t>e che provoca o può provocare, alla persona segnalante o alla persona che ha sporto la denuncia, in via diretta o indiretta</w:t>
      </w:r>
      <w:r w:rsidR="00010148">
        <w:rPr>
          <w:rStyle w:val="Rimandonotaapidipagina"/>
        </w:rPr>
        <w:footnoteReference w:id="2"/>
      </w:r>
      <w:r w:rsidR="004C2900" w:rsidRPr="0089463B">
        <w:t>, un danno ingiusto, da intendersi come danno ingiustificato</w:t>
      </w:r>
      <w:r w:rsidR="00431FD3" w:rsidRPr="0089463B">
        <w:t>.</w:t>
      </w:r>
      <w:r w:rsidR="00DC5D5D">
        <w:t xml:space="preserve"> </w:t>
      </w:r>
      <w:r>
        <w:t>L'adozione di misure ritenute ritorsive nei confronti del segnalante</w:t>
      </w:r>
      <w:r w:rsidR="005025AB">
        <w:t xml:space="preserve"> interno/esterno</w:t>
      </w:r>
      <w:r>
        <w:t xml:space="preserve"> è comunicata in ogni caso all'ANAC </w:t>
      </w:r>
      <w:r w:rsidRPr="0050691D">
        <w:rPr>
          <w:b/>
          <w:bCs/>
        </w:rPr>
        <w:t>dall'interessato</w:t>
      </w:r>
      <w:r>
        <w:t xml:space="preserve">. L'ANAC informa il Dipartimento della Funzione Pubblica della Presidenza del Consiglio dei </w:t>
      </w:r>
      <w:r>
        <w:lastRenderedPageBreak/>
        <w:t>ministri o gli altri organismi di garanzia o di disciplina per le attività e gli eventuali provvedimenti di competenza.</w:t>
      </w:r>
    </w:p>
    <w:p w14:paraId="1D678CE7" w14:textId="6A438183" w:rsidR="00D27683" w:rsidRDefault="00D27683" w:rsidP="00D27683">
      <w:r>
        <w:t>Qualora vengano accertate dall’ANAC misure discriminatorie, il responsabile che le ha adottate potrà incorrere nelle sanzioni previste dal</w:t>
      </w:r>
      <w:r w:rsidR="004617C8">
        <w:t>l’art.21 del</w:t>
      </w:r>
      <w:r w:rsidR="00C976FF">
        <w:t xml:space="preserve"> D.</w:t>
      </w:r>
      <w:r w:rsidR="00AE7B32">
        <w:t xml:space="preserve"> </w:t>
      </w:r>
      <w:r w:rsidR="00C976FF">
        <w:t>Lgs</w:t>
      </w:r>
      <w:r w:rsidR="00AE7B32">
        <w:t>.</w:t>
      </w:r>
      <w:r w:rsidR="00C976FF">
        <w:t xml:space="preserve"> 24/20</w:t>
      </w:r>
      <w:r w:rsidR="00DE4620">
        <w:t>2</w:t>
      </w:r>
      <w:r w:rsidR="00C976FF">
        <w:t>3</w:t>
      </w:r>
      <w:r>
        <w:t>.</w:t>
      </w:r>
    </w:p>
    <w:p w14:paraId="1D678CE8" w14:textId="77777777" w:rsidR="00D27683" w:rsidRDefault="00D27683" w:rsidP="00D27683">
      <w:r>
        <w:t>Si precisa che in base al dettato normativo è a carico dell'Amministrazione Pubblica dimostrare che le misure discriminatorie o ritorsive, adottate nei confronti del segnalante, sono motivate da ragioni estranee alla segnalazione stessa. Gli atti discriminatori o ritorsivi adottati dall'Amministrazione sono nulli.</w:t>
      </w:r>
    </w:p>
    <w:p w14:paraId="1D678CE9" w14:textId="455CD462" w:rsidR="00D27683" w:rsidRDefault="00D27683" w:rsidP="00D27683">
      <w:r>
        <w:t>La A</w:t>
      </w:r>
      <w:r w:rsidR="00BE4714">
        <w:t>zienda</w:t>
      </w:r>
      <w:r>
        <w:t xml:space="preserve"> promuove, a tutela dei segnalanti, un’efficace attività di comunicazione e formazione sui diritti e gli obblighi relativi alla segnalazione degli illeciti, a tutela del pubblico interesse, nell’ambito dei percorsi di formazione sull’etica pubblica e del Codice di comportamento dei pubblici dipendenti.</w:t>
      </w:r>
    </w:p>
    <w:p w14:paraId="1D678CEA" w14:textId="77777777" w:rsidR="00D27683" w:rsidRDefault="00D27683" w:rsidP="009952E8">
      <w:pPr>
        <w:pStyle w:val="Titolo1"/>
      </w:pPr>
      <w:bookmarkStart w:id="8" w:name="_Toc144387780"/>
      <w:r>
        <w:t>4</w:t>
      </w:r>
      <w:r w:rsidR="009952E8">
        <w:t>.</w:t>
      </w:r>
      <w:r>
        <w:t xml:space="preserve"> La responsabilità del segnalante</w:t>
      </w:r>
      <w:bookmarkEnd w:id="8"/>
    </w:p>
    <w:p w14:paraId="1D678CEB" w14:textId="77777777" w:rsidR="005025AB" w:rsidRDefault="005025AB" w:rsidP="00D27683"/>
    <w:p w14:paraId="1D678CEC" w14:textId="48D3D61E" w:rsidR="00D27683" w:rsidRDefault="00D27683" w:rsidP="00D27683">
      <w:r>
        <w:t>Le tutele del segnalante</w:t>
      </w:r>
      <w:r w:rsidR="005025AB">
        <w:t xml:space="preserve">, importante salvaguardia accordata per combattere la costituzione di un ambiente omissivo e/o collusivo, </w:t>
      </w:r>
      <w:r>
        <w:t>non sono garantite nei casi in cui sia accertata, anche con sentenza di primo grado, la responsabilità penale</w:t>
      </w:r>
      <w:r w:rsidR="005025AB">
        <w:t xml:space="preserve"> del segnalante medesimo</w:t>
      </w:r>
      <w:r>
        <w:t xml:space="preserve"> per i reati di calunnia o diffamazione</w:t>
      </w:r>
      <w:r w:rsidR="00A561B3">
        <w:t>,</w:t>
      </w:r>
      <w:r>
        <w:t xml:space="preserve"> ovvero </w:t>
      </w:r>
      <w:r w:rsidR="005025AB">
        <w:t xml:space="preserve">laddove sia riconosciuta </w:t>
      </w:r>
      <w:r>
        <w:t>la sua responsabilità civile, per lo stesso titolo, nei casi di dolo o colpa grave.</w:t>
      </w:r>
    </w:p>
    <w:p w14:paraId="1D678CED" w14:textId="77777777" w:rsidR="00D27683" w:rsidRDefault="00D27683" w:rsidP="00D27683">
      <w:r>
        <w:t>Nel caso in cui, a seguito di verifiche interne, la segnalazione risulti effettuata in mala fede e priva di ogni fondamento, saranno valutate azioni di responsabilità disciplinare o penale nei confronti del segnalante, salvo che questi non produca ulteriori elementi a supporto della propria segnalazione.</w:t>
      </w:r>
    </w:p>
    <w:p w14:paraId="1D678CEE" w14:textId="77777777" w:rsidR="00D27683" w:rsidRDefault="009952E8" w:rsidP="009952E8">
      <w:pPr>
        <w:pStyle w:val="Titolo1"/>
      </w:pPr>
      <w:bookmarkStart w:id="9" w:name="_Toc144387781"/>
      <w:r>
        <w:t>5.</w:t>
      </w:r>
      <w:r w:rsidR="00D27683">
        <w:t xml:space="preserve"> Disposizioni finali</w:t>
      </w:r>
      <w:bookmarkEnd w:id="9"/>
    </w:p>
    <w:p w14:paraId="1D678CEF" w14:textId="77777777" w:rsidR="005025AB" w:rsidRPr="005025AB" w:rsidRDefault="005025AB" w:rsidP="005025AB"/>
    <w:p w14:paraId="1D678CF0" w14:textId="51F1B66B" w:rsidR="00D27683" w:rsidRDefault="00D27683" w:rsidP="00D27683">
      <w:r>
        <w:t xml:space="preserve">La procedura individuata nel presente atto per il whistleblowing, nonché i profili di tutela del segnalante e le forme di raccordo con le altre strutture per i reclami potranno essere sottoposti a eventuale revisione, qualora necessario e qualora le linee guida </w:t>
      </w:r>
      <w:r w:rsidR="000254D3">
        <w:t>ANAC, prevedano</w:t>
      </w:r>
      <w:r>
        <w:t xml:space="preserve"> la necessità di adeguamento.</w:t>
      </w:r>
    </w:p>
    <w:p w14:paraId="1D678CF1" w14:textId="77777777" w:rsidR="00D27683" w:rsidRDefault="00D27683" w:rsidP="00D27683"/>
    <w:p w14:paraId="1D678CF2" w14:textId="77777777" w:rsidR="004F44E9" w:rsidRPr="004F44E9" w:rsidRDefault="004F44E9" w:rsidP="004F44E9">
      <w:pPr>
        <w:autoSpaceDE w:val="0"/>
        <w:autoSpaceDN w:val="0"/>
        <w:adjustRightInd w:val="0"/>
        <w:spacing w:after="0" w:line="240" w:lineRule="auto"/>
        <w:rPr>
          <w:rFonts w:ascii="Century Gothic" w:hAnsi="Century Gothic" w:cs="Century Gothic"/>
          <w:color w:val="000000"/>
          <w:sz w:val="24"/>
          <w:szCs w:val="24"/>
        </w:rPr>
      </w:pPr>
    </w:p>
    <w:sectPr w:rsidR="004F44E9" w:rsidRPr="004F44E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2E7E" w14:textId="77777777" w:rsidR="00583779" w:rsidRDefault="00583779" w:rsidP="00D13672">
      <w:pPr>
        <w:spacing w:after="0" w:line="240" w:lineRule="auto"/>
      </w:pPr>
      <w:r>
        <w:separator/>
      </w:r>
    </w:p>
  </w:endnote>
  <w:endnote w:type="continuationSeparator" w:id="0">
    <w:p w14:paraId="06FC3F34" w14:textId="77777777" w:rsidR="00583779" w:rsidRDefault="00583779" w:rsidP="00D1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C64C" w14:textId="77777777" w:rsidR="00583779" w:rsidRDefault="00583779" w:rsidP="00D13672">
      <w:pPr>
        <w:spacing w:after="0" w:line="240" w:lineRule="auto"/>
      </w:pPr>
      <w:r>
        <w:separator/>
      </w:r>
    </w:p>
  </w:footnote>
  <w:footnote w:type="continuationSeparator" w:id="0">
    <w:p w14:paraId="468BC133" w14:textId="77777777" w:rsidR="00583779" w:rsidRDefault="00583779" w:rsidP="00D13672">
      <w:pPr>
        <w:spacing w:after="0" w:line="240" w:lineRule="auto"/>
      </w:pPr>
      <w:r>
        <w:continuationSeparator/>
      </w:r>
    </w:p>
  </w:footnote>
  <w:footnote w:id="1">
    <w:p w14:paraId="5599B951" w14:textId="6C2AAEC8" w:rsidR="00632517" w:rsidRDefault="00632517">
      <w:pPr>
        <w:pStyle w:val="Testonotaapidipagina"/>
      </w:pPr>
      <w:r>
        <w:rPr>
          <w:rStyle w:val="Rimandonotaapidipagina"/>
        </w:rPr>
        <w:footnoteRef/>
      </w:r>
      <w:r>
        <w:t xml:space="preserve"> </w:t>
      </w:r>
      <w:r w:rsidR="004E7B01">
        <w:t xml:space="preserve">Esempi non esaustivi di comportamenti </w:t>
      </w:r>
      <w:r w:rsidR="00046C94">
        <w:t xml:space="preserve">vietati come ritorsivi </w:t>
      </w:r>
      <w:r w:rsidR="004E7B01">
        <w:t xml:space="preserve">sono </w:t>
      </w:r>
      <w:r w:rsidR="00386B69">
        <w:t>descritti nelle Linee guida ANAC adottate con delibera</w:t>
      </w:r>
      <w:r w:rsidR="00386B69" w:rsidRPr="00386B69">
        <w:rPr>
          <w:sz w:val="22"/>
          <w:szCs w:val="22"/>
        </w:rPr>
        <w:t xml:space="preserve"> </w:t>
      </w:r>
      <w:r w:rsidR="00386B69" w:rsidRPr="00386B69">
        <w:t>del </w:t>
      </w:r>
      <w:r w:rsidR="00386B69" w:rsidRPr="00386B69">
        <w:rPr>
          <w:b/>
          <w:bCs/>
        </w:rPr>
        <w:t>12 luglio 2023 n. 311 </w:t>
      </w:r>
    </w:p>
  </w:footnote>
  <w:footnote w:id="2">
    <w:p w14:paraId="56B406A1" w14:textId="77777777" w:rsidR="00AC4B5B" w:rsidRDefault="00010148" w:rsidP="00504975">
      <w:pPr>
        <w:pStyle w:val="Testonotaapidipagina"/>
      </w:pPr>
      <w:r>
        <w:rPr>
          <w:rStyle w:val="Rimandonotaapidipagina"/>
        </w:rPr>
        <w:footnoteRef/>
      </w:r>
      <w:r w:rsidR="00504975">
        <w:t xml:space="preserve"> </w:t>
      </w:r>
      <w:r w:rsidR="007C7E19">
        <w:t>Sono protett</w:t>
      </w:r>
      <w:r w:rsidR="00AC4B5B">
        <w:t>i</w:t>
      </w:r>
      <w:r w:rsidR="007C7E19">
        <w:t xml:space="preserve"> da possibili ritorsio</w:t>
      </w:r>
      <w:r w:rsidR="00AC4B5B">
        <w:t>n</w:t>
      </w:r>
      <w:r w:rsidR="007C7E19">
        <w:t>i indirette o “trasversali</w:t>
      </w:r>
      <w:r w:rsidR="00AC4B5B">
        <w:t>”</w:t>
      </w:r>
      <w:r w:rsidR="007C7E19">
        <w:t>:</w:t>
      </w:r>
      <w:r>
        <w:t xml:space="preserve"> </w:t>
      </w:r>
    </w:p>
    <w:p w14:paraId="1E996517" w14:textId="77777777" w:rsidR="00AC4B5B" w:rsidRDefault="00AC4B5B" w:rsidP="00D45671">
      <w:pPr>
        <w:pStyle w:val="Testonotaapidipagina"/>
        <w:numPr>
          <w:ilvl w:val="0"/>
          <w:numId w:val="10"/>
        </w:numPr>
      </w:pPr>
      <w:r>
        <w:t>i</w:t>
      </w:r>
      <w:r w:rsidR="00504975" w:rsidRPr="00504975">
        <w:t>l facilitatore (persona fisica che assiste il segnalante nel processo di segnalazione e operante all’interno del medesimo contesto lavorativo);</w:t>
      </w:r>
    </w:p>
    <w:p w14:paraId="60A16BC0" w14:textId="77777777" w:rsidR="00101394" w:rsidRDefault="00504975" w:rsidP="00C74874">
      <w:pPr>
        <w:pStyle w:val="Testonotaapidipagina"/>
        <w:numPr>
          <w:ilvl w:val="0"/>
          <w:numId w:val="10"/>
        </w:numPr>
      </w:pPr>
      <w:r w:rsidRPr="00504975">
        <w:t>le persone del medesimo contesto lavorativo della persona segnalante, di colui che ha sporto una denuncia o di colui che ha effettuato una divulgazione pubblica e che sono legate ad essi da uno stabile legame affettivo o di parentela entro il quarto grado; </w:t>
      </w:r>
    </w:p>
    <w:p w14:paraId="2B11F3F5" w14:textId="77777777" w:rsidR="00101394" w:rsidRDefault="00504975" w:rsidP="00820EFF">
      <w:pPr>
        <w:pStyle w:val="Testonotaapidipagina"/>
        <w:numPr>
          <w:ilvl w:val="0"/>
          <w:numId w:val="10"/>
        </w:numPr>
      </w:pPr>
      <w:r w:rsidRPr="00504975">
        <w:t>i colleghi di lavoro della persona segnalante o della persona che ha sporto una denuncia o effettuato una divulgazione pubblica, che lavorano nel medesimo contesto lavorativo della stessa e che hanno con detta persona un rapporto abituale e corrente;</w:t>
      </w:r>
    </w:p>
    <w:p w14:paraId="2A360D00" w14:textId="59829AD4" w:rsidR="00010148" w:rsidRDefault="00504975" w:rsidP="00820EFF">
      <w:pPr>
        <w:pStyle w:val="Testonotaapidipagina"/>
        <w:numPr>
          <w:ilvl w:val="0"/>
          <w:numId w:val="10"/>
        </w:numPr>
      </w:pPr>
      <w:r w:rsidRPr="00504975">
        <w:t>gli enti di proprietà della persona segnalante o per i quali le stesse persone lavorano nonché agli enti che operano nel medesimo contesto lavorativo delle predette persone</w:t>
      </w:r>
      <w:r w:rsidR="00DA06D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944"/>
    <w:multiLevelType w:val="hybridMultilevel"/>
    <w:tmpl w:val="8474EE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107B41"/>
    <w:multiLevelType w:val="hybridMultilevel"/>
    <w:tmpl w:val="811E0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5B7805"/>
    <w:multiLevelType w:val="hybridMultilevel"/>
    <w:tmpl w:val="5B08CC94"/>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 w15:restartNumberingAfterBreak="0">
    <w:nsid w:val="22F54697"/>
    <w:multiLevelType w:val="hybridMultilevel"/>
    <w:tmpl w:val="793A1EF2"/>
    <w:lvl w:ilvl="0" w:tplc="84F2B764">
      <w:start w:val="1"/>
      <w:numFmt w:val="bullet"/>
      <w:lvlText w:val="•"/>
      <w:lvlJc w:val="left"/>
      <w:pPr>
        <w:tabs>
          <w:tab w:val="num" w:pos="1211"/>
        </w:tabs>
        <w:ind w:left="1211" w:hanging="360"/>
      </w:pPr>
      <w:rPr>
        <w:rFonts w:ascii="Arial MT" w:hAnsi="Arial MT" w:hint="default"/>
      </w:rPr>
    </w:lvl>
    <w:lvl w:ilvl="1" w:tplc="E876A89E">
      <w:start w:val="1"/>
      <w:numFmt w:val="bullet"/>
      <w:lvlText w:val="•"/>
      <w:lvlJc w:val="left"/>
      <w:pPr>
        <w:tabs>
          <w:tab w:val="num" w:pos="1931"/>
        </w:tabs>
        <w:ind w:left="1931" w:hanging="360"/>
      </w:pPr>
      <w:rPr>
        <w:rFonts w:ascii="Arial MT" w:hAnsi="Arial MT" w:hint="default"/>
      </w:rPr>
    </w:lvl>
    <w:lvl w:ilvl="2" w:tplc="4860FFFA" w:tentative="1">
      <w:start w:val="1"/>
      <w:numFmt w:val="bullet"/>
      <w:lvlText w:val="•"/>
      <w:lvlJc w:val="left"/>
      <w:pPr>
        <w:tabs>
          <w:tab w:val="num" w:pos="2651"/>
        </w:tabs>
        <w:ind w:left="2651" w:hanging="360"/>
      </w:pPr>
      <w:rPr>
        <w:rFonts w:ascii="Arial MT" w:hAnsi="Arial MT" w:hint="default"/>
      </w:rPr>
    </w:lvl>
    <w:lvl w:ilvl="3" w:tplc="A17CB970" w:tentative="1">
      <w:start w:val="1"/>
      <w:numFmt w:val="bullet"/>
      <w:lvlText w:val="•"/>
      <w:lvlJc w:val="left"/>
      <w:pPr>
        <w:tabs>
          <w:tab w:val="num" w:pos="3371"/>
        </w:tabs>
        <w:ind w:left="3371" w:hanging="360"/>
      </w:pPr>
      <w:rPr>
        <w:rFonts w:ascii="Arial MT" w:hAnsi="Arial MT" w:hint="default"/>
      </w:rPr>
    </w:lvl>
    <w:lvl w:ilvl="4" w:tplc="7AA22430" w:tentative="1">
      <w:start w:val="1"/>
      <w:numFmt w:val="bullet"/>
      <w:lvlText w:val="•"/>
      <w:lvlJc w:val="left"/>
      <w:pPr>
        <w:tabs>
          <w:tab w:val="num" w:pos="4091"/>
        </w:tabs>
        <w:ind w:left="4091" w:hanging="360"/>
      </w:pPr>
      <w:rPr>
        <w:rFonts w:ascii="Arial MT" w:hAnsi="Arial MT" w:hint="default"/>
      </w:rPr>
    </w:lvl>
    <w:lvl w:ilvl="5" w:tplc="B4AE0ACA" w:tentative="1">
      <w:start w:val="1"/>
      <w:numFmt w:val="bullet"/>
      <w:lvlText w:val="•"/>
      <w:lvlJc w:val="left"/>
      <w:pPr>
        <w:tabs>
          <w:tab w:val="num" w:pos="4811"/>
        </w:tabs>
        <w:ind w:left="4811" w:hanging="360"/>
      </w:pPr>
      <w:rPr>
        <w:rFonts w:ascii="Arial MT" w:hAnsi="Arial MT" w:hint="default"/>
      </w:rPr>
    </w:lvl>
    <w:lvl w:ilvl="6" w:tplc="53962CE2" w:tentative="1">
      <w:start w:val="1"/>
      <w:numFmt w:val="bullet"/>
      <w:lvlText w:val="•"/>
      <w:lvlJc w:val="left"/>
      <w:pPr>
        <w:tabs>
          <w:tab w:val="num" w:pos="5531"/>
        </w:tabs>
        <w:ind w:left="5531" w:hanging="360"/>
      </w:pPr>
      <w:rPr>
        <w:rFonts w:ascii="Arial MT" w:hAnsi="Arial MT" w:hint="default"/>
      </w:rPr>
    </w:lvl>
    <w:lvl w:ilvl="7" w:tplc="60E0FC68" w:tentative="1">
      <w:start w:val="1"/>
      <w:numFmt w:val="bullet"/>
      <w:lvlText w:val="•"/>
      <w:lvlJc w:val="left"/>
      <w:pPr>
        <w:tabs>
          <w:tab w:val="num" w:pos="6251"/>
        </w:tabs>
        <w:ind w:left="6251" w:hanging="360"/>
      </w:pPr>
      <w:rPr>
        <w:rFonts w:ascii="Arial MT" w:hAnsi="Arial MT" w:hint="default"/>
      </w:rPr>
    </w:lvl>
    <w:lvl w:ilvl="8" w:tplc="DA44EFD8" w:tentative="1">
      <w:start w:val="1"/>
      <w:numFmt w:val="bullet"/>
      <w:lvlText w:val="•"/>
      <w:lvlJc w:val="left"/>
      <w:pPr>
        <w:tabs>
          <w:tab w:val="num" w:pos="6971"/>
        </w:tabs>
        <w:ind w:left="6971" w:hanging="360"/>
      </w:pPr>
      <w:rPr>
        <w:rFonts w:ascii="Arial MT" w:hAnsi="Arial MT" w:hint="default"/>
      </w:rPr>
    </w:lvl>
  </w:abstractNum>
  <w:abstractNum w:abstractNumId="4" w15:restartNumberingAfterBreak="0">
    <w:nsid w:val="2AE01A58"/>
    <w:multiLevelType w:val="hybridMultilevel"/>
    <w:tmpl w:val="A61C29D0"/>
    <w:lvl w:ilvl="0" w:tplc="9B58222A">
      <w:start w:val="14"/>
      <w:numFmt w:val="bullet"/>
      <w:lvlText w:val="-"/>
      <w:lvlJc w:val="left"/>
      <w:pPr>
        <w:ind w:left="1068" w:hanging="360"/>
      </w:pPr>
      <w:rPr>
        <w:rFonts w:ascii="Cambria" w:eastAsiaTheme="minorHAnsi" w:hAnsi="Cambri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30350BBC"/>
    <w:multiLevelType w:val="hybridMultilevel"/>
    <w:tmpl w:val="A16073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72F70"/>
    <w:multiLevelType w:val="hybridMultilevel"/>
    <w:tmpl w:val="2E6A09B4"/>
    <w:lvl w:ilvl="0" w:tplc="95E4DCAC">
      <w:start w:val="1"/>
      <w:numFmt w:val="bullet"/>
      <w:lvlText w:val="•"/>
      <w:lvlJc w:val="left"/>
      <w:pPr>
        <w:tabs>
          <w:tab w:val="num" w:pos="720"/>
        </w:tabs>
        <w:ind w:left="720" w:hanging="360"/>
      </w:pPr>
      <w:rPr>
        <w:rFonts w:ascii="Arial MT" w:hAnsi="Arial MT" w:hint="default"/>
      </w:rPr>
    </w:lvl>
    <w:lvl w:ilvl="1" w:tplc="4D96C8AC" w:tentative="1">
      <w:start w:val="1"/>
      <w:numFmt w:val="bullet"/>
      <w:lvlText w:val="•"/>
      <w:lvlJc w:val="left"/>
      <w:pPr>
        <w:tabs>
          <w:tab w:val="num" w:pos="1440"/>
        </w:tabs>
        <w:ind w:left="1440" w:hanging="360"/>
      </w:pPr>
      <w:rPr>
        <w:rFonts w:ascii="Arial MT" w:hAnsi="Arial MT" w:hint="default"/>
      </w:rPr>
    </w:lvl>
    <w:lvl w:ilvl="2" w:tplc="0DD4C638" w:tentative="1">
      <w:start w:val="1"/>
      <w:numFmt w:val="bullet"/>
      <w:lvlText w:val="•"/>
      <w:lvlJc w:val="left"/>
      <w:pPr>
        <w:tabs>
          <w:tab w:val="num" w:pos="2160"/>
        </w:tabs>
        <w:ind w:left="2160" w:hanging="360"/>
      </w:pPr>
      <w:rPr>
        <w:rFonts w:ascii="Arial MT" w:hAnsi="Arial MT" w:hint="default"/>
      </w:rPr>
    </w:lvl>
    <w:lvl w:ilvl="3" w:tplc="D12402A4" w:tentative="1">
      <w:start w:val="1"/>
      <w:numFmt w:val="bullet"/>
      <w:lvlText w:val="•"/>
      <w:lvlJc w:val="left"/>
      <w:pPr>
        <w:tabs>
          <w:tab w:val="num" w:pos="2880"/>
        </w:tabs>
        <w:ind w:left="2880" w:hanging="360"/>
      </w:pPr>
      <w:rPr>
        <w:rFonts w:ascii="Arial MT" w:hAnsi="Arial MT" w:hint="default"/>
      </w:rPr>
    </w:lvl>
    <w:lvl w:ilvl="4" w:tplc="C49E9806" w:tentative="1">
      <w:start w:val="1"/>
      <w:numFmt w:val="bullet"/>
      <w:lvlText w:val="•"/>
      <w:lvlJc w:val="left"/>
      <w:pPr>
        <w:tabs>
          <w:tab w:val="num" w:pos="3600"/>
        </w:tabs>
        <w:ind w:left="3600" w:hanging="360"/>
      </w:pPr>
      <w:rPr>
        <w:rFonts w:ascii="Arial MT" w:hAnsi="Arial MT" w:hint="default"/>
      </w:rPr>
    </w:lvl>
    <w:lvl w:ilvl="5" w:tplc="BDA61A92" w:tentative="1">
      <w:start w:val="1"/>
      <w:numFmt w:val="bullet"/>
      <w:lvlText w:val="•"/>
      <w:lvlJc w:val="left"/>
      <w:pPr>
        <w:tabs>
          <w:tab w:val="num" w:pos="4320"/>
        </w:tabs>
        <w:ind w:left="4320" w:hanging="360"/>
      </w:pPr>
      <w:rPr>
        <w:rFonts w:ascii="Arial MT" w:hAnsi="Arial MT" w:hint="default"/>
      </w:rPr>
    </w:lvl>
    <w:lvl w:ilvl="6" w:tplc="C786DE48" w:tentative="1">
      <w:start w:val="1"/>
      <w:numFmt w:val="bullet"/>
      <w:lvlText w:val="•"/>
      <w:lvlJc w:val="left"/>
      <w:pPr>
        <w:tabs>
          <w:tab w:val="num" w:pos="5040"/>
        </w:tabs>
        <w:ind w:left="5040" w:hanging="360"/>
      </w:pPr>
      <w:rPr>
        <w:rFonts w:ascii="Arial MT" w:hAnsi="Arial MT" w:hint="default"/>
      </w:rPr>
    </w:lvl>
    <w:lvl w:ilvl="7" w:tplc="125E2848" w:tentative="1">
      <w:start w:val="1"/>
      <w:numFmt w:val="bullet"/>
      <w:lvlText w:val="•"/>
      <w:lvlJc w:val="left"/>
      <w:pPr>
        <w:tabs>
          <w:tab w:val="num" w:pos="5760"/>
        </w:tabs>
        <w:ind w:left="5760" w:hanging="360"/>
      </w:pPr>
      <w:rPr>
        <w:rFonts w:ascii="Arial MT" w:hAnsi="Arial MT" w:hint="default"/>
      </w:rPr>
    </w:lvl>
    <w:lvl w:ilvl="8" w:tplc="BD8AEA50" w:tentative="1">
      <w:start w:val="1"/>
      <w:numFmt w:val="bullet"/>
      <w:lvlText w:val="•"/>
      <w:lvlJc w:val="left"/>
      <w:pPr>
        <w:tabs>
          <w:tab w:val="num" w:pos="6480"/>
        </w:tabs>
        <w:ind w:left="6480" w:hanging="360"/>
      </w:pPr>
      <w:rPr>
        <w:rFonts w:ascii="Arial MT" w:hAnsi="Arial MT" w:hint="default"/>
      </w:rPr>
    </w:lvl>
  </w:abstractNum>
  <w:abstractNum w:abstractNumId="7" w15:restartNumberingAfterBreak="0">
    <w:nsid w:val="42033F19"/>
    <w:multiLevelType w:val="hybridMultilevel"/>
    <w:tmpl w:val="BE600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A7793C"/>
    <w:multiLevelType w:val="hybridMultilevel"/>
    <w:tmpl w:val="A6F0CE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4D376EE7"/>
    <w:multiLevelType w:val="hybridMultilevel"/>
    <w:tmpl w:val="D0724B2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75646AE"/>
    <w:multiLevelType w:val="hybridMultilevel"/>
    <w:tmpl w:val="7DDE3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5978D9"/>
    <w:multiLevelType w:val="hybridMultilevel"/>
    <w:tmpl w:val="F7700A84"/>
    <w:lvl w:ilvl="0" w:tplc="84F2B764">
      <w:start w:val="1"/>
      <w:numFmt w:val="bullet"/>
      <w:lvlText w:val="•"/>
      <w:lvlJc w:val="left"/>
      <w:pPr>
        <w:tabs>
          <w:tab w:val="num" w:pos="720"/>
        </w:tabs>
        <w:ind w:left="720" w:hanging="360"/>
      </w:pPr>
      <w:rPr>
        <w:rFonts w:ascii="Arial MT" w:hAnsi="Arial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9E15F0"/>
    <w:multiLevelType w:val="hybridMultilevel"/>
    <w:tmpl w:val="BBFC3D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E92B7A"/>
    <w:multiLevelType w:val="hybridMultilevel"/>
    <w:tmpl w:val="4E9C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055557"/>
    <w:multiLevelType w:val="hybridMultilevel"/>
    <w:tmpl w:val="FEE8D03C"/>
    <w:lvl w:ilvl="0" w:tplc="041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7FB17845"/>
    <w:multiLevelType w:val="hybridMultilevel"/>
    <w:tmpl w:val="610467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00942925">
    <w:abstractNumId w:val="10"/>
  </w:num>
  <w:num w:numId="2" w16cid:durableId="658650612">
    <w:abstractNumId w:val="0"/>
  </w:num>
  <w:num w:numId="3" w16cid:durableId="495808829">
    <w:abstractNumId w:val="13"/>
  </w:num>
  <w:num w:numId="4" w16cid:durableId="1182085399">
    <w:abstractNumId w:val="7"/>
  </w:num>
  <w:num w:numId="5" w16cid:durableId="131336639">
    <w:abstractNumId w:val="9"/>
  </w:num>
  <w:num w:numId="6" w16cid:durableId="1200630118">
    <w:abstractNumId w:val="8"/>
  </w:num>
  <w:num w:numId="7" w16cid:durableId="83042272">
    <w:abstractNumId w:val="2"/>
  </w:num>
  <w:num w:numId="8" w16cid:durableId="1064109753">
    <w:abstractNumId w:val="4"/>
  </w:num>
  <w:num w:numId="9" w16cid:durableId="214050108">
    <w:abstractNumId w:val="5"/>
  </w:num>
  <w:num w:numId="10" w16cid:durableId="1766919053">
    <w:abstractNumId w:val="12"/>
  </w:num>
  <w:num w:numId="11" w16cid:durableId="603150308">
    <w:abstractNumId w:val="15"/>
  </w:num>
  <w:num w:numId="12" w16cid:durableId="659818942">
    <w:abstractNumId w:val="14"/>
  </w:num>
  <w:num w:numId="13" w16cid:durableId="1338993957">
    <w:abstractNumId w:val="6"/>
  </w:num>
  <w:num w:numId="14" w16cid:durableId="1771006787">
    <w:abstractNumId w:val="3"/>
  </w:num>
  <w:num w:numId="15" w16cid:durableId="447698201">
    <w:abstractNumId w:val="11"/>
  </w:num>
  <w:num w:numId="16" w16cid:durableId="181764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E9"/>
    <w:rsid w:val="00001CCD"/>
    <w:rsid w:val="00010148"/>
    <w:rsid w:val="00017238"/>
    <w:rsid w:val="000254D3"/>
    <w:rsid w:val="00034FEF"/>
    <w:rsid w:val="00046C94"/>
    <w:rsid w:val="00047AF1"/>
    <w:rsid w:val="0005069E"/>
    <w:rsid w:val="0005178B"/>
    <w:rsid w:val="00053C5A"/>
    <w:rsid w:val="000749C9"/>
    <w:rsid w:val="00083953"/>
    <w:rsid w:val="00084B01"/>
    <w:rsid w:val="00093A0A"/>
    <w:rsid w:val="00095BB6"/>
    <w:rsid w:val="000A7AF7"/>
    <w:rsid w:val="000F0F1B"/>
    <w:rsid w:val="00101394"/>
    <w:rsid w:val="0012179B"/>
    <w:rsid w:val="00135C7C"/>
    <w:rsid w:val="00141642"/>
    <w:rsid w:val="001446B9"/>
    <w:rsid w:val="00150AC8"/>
    <w:rsid w:val="00195FB8"/>
    <w:rsid w:val="00197C59"/>
    <w:rsid w:val="001A125F"/>
    <w:rsid w:val="001A7063"/>
    <w:rsid w:val="001D5009"/>
    <w:rsid w:val="001D5716"/>
    <w:rsid w:val="001E0048"/>
    <w:rsid w:val="001E1F8C"/>
    <w:rsid w:val="002114CA"/>
    <w:rsid w:val="00213BA7"/>
    <w:rsid w:val="00233264"/>
    <w:rsid w:val="00240CE0"/>
    <w:rsid w:val="0024376D"/>
    <w:rsid w:val="0025282D"/>
    <w:rsid w:val="00256C56"/>
    <w:rsid w:val="00272ACC"/>
    <w:rsid w:val="00292F55"/>
    <w:rsid w:val="00294CED"/>
    <w:rsid w:val="002A2B97"/>
    <w:rsid w:val="002B2B33"/>
    <w:rsid w:val="002B3703"/>
    <w:rsid w:val="002B6E08"/>
    <w:rsid w:val="002C3D2F"/>
    <w:rsid w:val="002E685C"/>
    <w:rsid w:val="00301739"/>
    <w:rsid w:val="003104FC"/>
    <w:rsid w:val="003225F1"/>
    <w:rsid w:val="0033188E"/>
    <w:rsid w:val="003371DA"/>
    <w:rsid w:val="00357837"/>
    <w:rsid w:val="003642F5"/>
    <w:rsid w:val="00386B69"/>
    <w:rsid w:val="0039421A"/>
    <w:rsid w:val="00397E1C"/>
    <w:rsid w:val="003A0781"/>
    <w:rsid w:val="003C5DFC"/>
    <w:rsid w:val="003C6140"/>
    <w:rsid w:val="003E1448"/>
    <w:rsid w:val="003E488E"/>
    <w:rsid w:val="003F2E3C"/>
    <w:rsid w:val="00400169"/>
    <w:rsid w:val="00415C02"/>
    <w:rsid w:val="00423398"/>
    <w:rsid w:val="00423E35"/>
    <w:rsid w:val="00431FD3"/>
    <w:rsid w:val="00443859"/>
    <w:rsid w:val="004617C8"/>
    <w:rsid w:val="004658DF"/>
    <w:rsid w:val="0048361B"/>
    <w:rsid w:val="0049130E"/>
    <w:rsid w:val="00494882"/>
    <w:rsid w:val="00496357"/>
    <w:rsid w:val="004A384B"/>
    <w:rsid w:val="004B3588"/>
    <w:rsid w:val="004B6E5C"/>
    <w:rsid w:val="004C2900"/>
    <w:rsid w:val="004C3952"/>
    <w:rsid w:val="004E7B01"/>
    <w:rsid w:val="004F44E9"/>
    <w:rsid w:val="005025AB"/>
    <w:rsid w:val="00504975"/>
    <w:rsid w:val="0050691D"/>
    <w:rsid w:val="00512AC7"/>
    <w:rsid w:val="00515844"/>
    <w:rsid w:val="00517066"/>
    <w:rsid w:val="005228D7"/>
    <w:rsid w:val="00546C50"/>
    <w:rsid w:val="005531FB"/>
    <w:rsid w:val="005558B5"/>
    <w:rsid w:val="0055645C"/>
    <w:rsid w:val="005807AC"/>
    <w:rsid w:val="00583779"/>
    <w:rsid w:val="005855CA"/>
    <w:rsid w:val="00593627"/>
    <w:rsid w:val="005A1F73"/>
    <w:rsid w:val="005C0686"/>
    <w:rsid w:val="005E1D21"/>
    <w:rsid w:val="005E6CA6"/>
    <w:rsid w:val="00613DC7"/>
    <w:rsid w:val="00617068"/>
    <w:rsid w:val="00631A36"/>
    <w:rsid w:val="00632517"/>
    <w:rsid w:val="00636BCB"/>
    <w:rsid w:val="006562C3"/>
    <w:rsid w:val="0067388B"/>
    <w:rsid w:val="00677F35"/>
    <w:rsid w:val="006976BA"/>
    <w:rsid w:val="006B7C69"/>
    <w:rsid w:val="006C51E7"/>
    <w:rsid w:val="006E0480"/>
    <w:rsid w:val="00712FD7"/>
    <w:rsid w:val="00746D4E"/>
    <w:rsid w:val="00751D81"/>
    <w:rsid w:val="00756EF2"/>
    <w:rsid w:val="007649FE"/>
    <w:rsid w:val="007717CD"/>
    <w:rsid w:val="007858C3"/>
    <w:rsid w:val="007C570F"/>
    <w:rsid w:val="007C7E19"/>
    <w:rsid w:val="007E6698"/>
    <w:rsid w:val="007E765C"/>
    <w:rsid w:val="007F455D"/>
    <w:rsid w:val="00805410"/>
    <w:rsid w:val="00810D87"/>
    <w:rsid w:val="00824E8E"/>
    <w:rsid w:val="00827362"/>
    <w:rsid w:val="00841AAA"/>
    <w:rsid w:val="00843B7B"/>
    <w:rsid w:val="0084458D"/>
    <w:rsid w:val="00865D3C"/>
    <w:rsid w:val="00875796"/>
    <w:rsid w:val="0089438C"/>
    <w:rsid w:val="0089463B"/>
    <w:rsid w:val="008B0EA8"/>
    <w:rsid w:val="008B13FE"/>
    <w:rsid w:val="008D2864"/>
    <w:rsid w:val="008E32C2"/>
    <w:rsid w:val="008F2D1F"/>
    <w:rsid w:val="008F7692"/>
    <w:rsid w:val="00903E59"/>
    <w:rsid w:val="00907AFA"/>
    <w:rsid w:val="009101E9"/>
    <w:rsid w:val="0091322D"/>
    <w:rsid w:val="00932A72"/>
    <w:rsid w:val="0093746D"/>
    <w:rsid w:val="00946579"/>
    <w:rsid w:val="0095064C"/>
    <w:rsid w:val="009568E3"/>
    <w:rsid w:val="009725E4"/>
    <w:rsid w:val="00991D99"/>
    <w:rsid w:val="009952E8"/>
    <w:rsid w:val="009D56CE"/>
    <w:rsid w:val="009F7136"/>
    <w:rsid w:val="00A02BBC"/>
    <w:rsid w:val="00A13380"/>
    <w:rsid w:val="00A51925"/>
    <w:rsid w:val="00A561B3"/>
    <w:rsid w:val="00A56720"/>
    <w:rsid w:val="00A83DE0"/>
    <w:rsid w:val="00A90C2A"/>
    <w:rsid w:val="00A917B4"/>
    <w:rsid w:val="00AC4B5B"/>
    <w:rsid w:val="00AE7B32"/>
    <w:rsid w:val="00AF1B86"/>
    <w:rsid w:val="00B06B35"/>
    <w:rsid w:val="00B164C5"/>
    <w:rsid w:val="00B173B6"/>
    <w:rsid w:val="00B17B22"/>
    <w:rsid w:val="00B26929"/>
    <w:rsid w:val="00B53E00"/>
    <w:rsid w:val="00B53FC7"/>
    <w:rsid w:val="00B95237"/>
    <w:rsid w:val="00B95315"/>
    <w:rsid w:val="00BA2BC6"/>
    <w:rsid w:val="00BA3D85"/>
    <w:rsid w:val="00BA66C1"/>
    <w:rsid w:val="00BA67EE"/>
    <w:rsid w:val="00BA6C9F"/>
    <w:rsid w:val="00BC152D"/>
    <w:rsid w:val="00BD4C3E"/>
    <w:rsid w:val="00BE4714"/>
    <w:rsid w:val="00C12BF7"/>
    <w:rsid w:val="00C12E11"/>
    <w:rsid w:val="00C167E6"/>
    <w:rsid w:val="00C3571B"/>
    <w:rsid w:val="00C3662C"/>
    <w:rsid w:val="00C4697B"/>
    <w:rsid w:val="00C5207F"/>
    <w:rsid w:val="00C54F78"/>
    <w:rsid w:val="00C70FBD"/>
    <w:rsid w:val="00C77CD6"/>
    <w:rsid w:val="00C976FF"/>
    <w:rsid w:val="00CA203A"/>
    <w:rsid w:val="00CA5589"/>
    <w:rsid w:val="00CC08D6"/>
    <w:rsid w:val="00CC5C96"/>
    <w:rsid w:val="00CE7711"/>
    <w:rsid w:val="00CF49F4"/>
    <w:rsid w:val="00CF6B43"/>
    <w:rsid w:val="00D03A1D"/>
    <w:rsid w:val="00D13672"/>
    <w:rsid w:val="00D1781E"/>
    <w:rsid w:val="00D27683"/>
    <w:rsid w:val="00D333BE"/>
    <w:rsid w:val="00D33AD4"/>
    <w:rsid w:val="00D51860"/>
    <w:rsid w:val="00D85B7E"/>
    <w:rsid w:val="00DA06D2"/>
    <w:rsid w:val="00DA0ACF"/>
    <w:rsid w:val="00DC5D5D"/>
    <w:rsid w:val="00DD3689"/>
    <w:rsid w:val="00DE4620"/>
    <w:rsid w:val="00E04FF2"/>
    <w:rsid w:val="00E24A80"/>
    <w:rsid w:val="00E343F7"/>
    <w:rsid w:val="00E44558"/>
    <w:rsid w:val="00E649F2"/>
    <w:rsid w:val="00E748CF"/>
    <w:rsid w:val="00E847DD"/>
    <w:rsid w:val="00E96EEF"/>
    <w:rsid w:val="00EB4512"/>
    <w:rsid w:val="00EF3339"/>
    <w:rsid w:val="00F31F1E"/>
    <w:rsid w:val="00F4041D"/>
    <w:rsid w:val="00F56CC7"/>
    <w:rsid w:val="00F57E3C"/>
    <w:rsid w:val="00F61E64"/>
    <w:rsid w:val="00F7091B"/>
    <w:rsid w:val="00F725AE"/>
    <w:rsid w:val="00F74321"/>
    <w:rsid w:val="00F75252"/>
    <w:rsid w:val="00F778AD"/>
    <w:rsid w:val="00F82198"/>
    <w:rsid w:val="00F95736"/>
    <w:rsid w:val="00F973F2"/>
    <w:rsid w:val="00FA6B2D"/>
    <w:rsid w:val="00FD3DED"/>
    <w:rsid w:val="00FF2907"/>
    <w:rsid w:val="00FF6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8C6F"/>
  <w15:docId w15:val="{5184F693-B670-457C-9323-47E27F4E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3953"/>
  </w:style>
  <w:style w:type="paragraph" w:styleId="Titolo1">
    <w:name w:val="heading 1"/>
    <w:basedOn w:val="Normale"/>
    <w:next w:val="Normale"/>
    <w:link w:val="Titolo1Carattere"/>
    <w:uiPriority w:val="9"/>
    <w:qFormat/>
    <w:rsid w:val="00D27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D276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44E9"/>
    <w:pPr>
      <w:autoSpaceDE w:val="0"/>
      <w:autoSpaceDN w:val="0"/>
      <w:adjustRightInd w:val="0"/>
      <w:spacing w:after="0" w:line="240" w:lineRule="auto"/>
    </w:pPr>
    <w:rPr>
      <w:rFonts w:ascii="Calibri Light" w:hAnsi="Calibri Light" w:cs="Calibri Light"/>
      <w:color w:val="000000"/>
      <w:sz w:val="24"/>
      <w:szCs w:val="24"/>
    </w:rPr>
  </w:style>
  <w:style w:type="character" w:styleId="Collegamentoipertestuale">
    <w:name w:val="Hyperlink"/>
    <w:basedOn w:val="Carpredefinitoparagrafo"/>
    <w:uiPriority w:val="99"/>
    <w:unhideWhenUsed/>
    <w:rsid w:val="006B7C69"/>
    <w:rPr>
      <w:color w:val="0000FF" w:themeColor="hyperlink"/>
      <w:u w:val="single"/>
    </w:rPr>
  </w:style>
  <w:style w:type="paragraph" w:styleId="Paragrafoelenco">
    <w:name w:val="List Paragraph"/>
    <w:basedOn w:val="Normale"/>
    <w:uiPriority w:val="34"/>
    <w:qFormat/>
    <w:rsid w:val="006B7C69"/>
    <w:pPr>
      <w:ind w:left="720"/>
      <w:contextualSpacing/>
    </w:pPr>
  </w:style>
  <w:style w:type="paragraph" w:styleId="Testonotaapidipagina">
    <w:name w:val="footnote text"/>
    <w:basedOn w:val="Normale"/>
    <w:link w:val="TestonotaapidipaginaCarattere"/>
    <w:uiPriority w:val="99"/>
    <w:semiHidden/>
    <w:unhideWhenUsed/>
    <w:rsid w:val="00D136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13672"/>
    <w:rPr>
      <w:sz w:val="20"/>
      <w:szCs w:val="20"/>
    </w:rPr>
  </w:style>
  <w:style w:type="character" w:styleId="Rimandonotaapidipagina">
    <w:name w:val="footnote reference"/>
    <w:basedOn w:val="Carpredefinitoparagrafo"/>
    <w:uiPriority w:val="99"/>
    <w:semiHidden/>
    <w:unhideWhenUsed/>
    <w:rsid w:val="00D13672"/>
    <w:rPr>
      <w:vertAlign w:val="superscript"/>
    </w:rPr>
  </w:style>
  <w:style w:type="character" w:customStyle="1" w:styleId="Titolo1Carattere">
    <w:name w:val="Titolo 1 Carattere"/>
    <w:basedOn w:val="Carpredefinitoparagrafo"/>
    <w:link w:val="Titolo1"/>
    <w:uiPriority w:val="9"/>
    <w:rsid w:val="00D27683"/>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D27683"/>
    <w:rPr>
      <w:rFonts w:asciiTheme="majorHAnsi" w:eastAsiaTheme="majorEastAsia" w:hAnsiTheme="majorHAnsi" w:cstheme="majorBidi"/>
      <w:b/>
      <w:bCs/>
      <w:color w:val="4F81BD" w:themeColor="accent1"/>
      <w:sz w:val="26"/>
      <w:szCs w:val="26"/>
    </w:rPr>
  </w:style>
  <w:style w:type="paragraph" w:styleId="Titolosommario">
    <w:name w:val="TOC Heading"/>
    <w:basedOn w:val="Titolo1"/>
    <w:next w:val="Normale"/>
    <w:uiPriority w:val="39"/>
    <w:semiHidden/>
    <w:unhideWhenUsed/>
    <w:qFormat/>
    <w:rsid w:val="009952E8"/>
    <w:pPr>
      <w:outlineLvl w:val="9"/>
    </w:pPr>
    <w:rPr>
      <w:lang w:eastAsia="it-IT"/>
    </w:rPr>
  </w:style>
  <w:style w:type="paragraph" w:styleId="Sommario1">
    <w:name w:val="toc 1"/>
    <w:basedOn w:val="Normale"/>
    <w:next w:val="Normale"/>
    <w:autoRedefine/>
    <w:uiPriority w:val="39"/>
    <w:unhideWhenUsed/>
    <w:rsid w:val="009952E8"/>
    <w:pPr>
      <w:spacing w:after="100"/>
    </w:pPr>
  </w:style>
  <w:style w:type="paragraph" w:styleId="Sommario2">
    <w:name w:val="toc 2"/>
    <w:basedOn w:val="Normale"/>
    <w:next w:val="Normale"/>
    <w:autoRedefine/>
    <w:uiPriority w:val="39"/>
    <w:unhideWhenUsed/>
    <w:rsid w:val="009952E8"/>
    <w:pPr>
      <w:spacing w:after="100"/>
      <w:ind w:left="220"/>
    </w:pPr>
  </w:style>
  <w:style w:type="paragraph" w:styleId="Testofumetto">
    <w:name w:val="Balloon Text"/>
    <w:basedOn w:val="Normale"/>
    <w:link w:val="TestofumettoCarattere"/>
    <w:uiPriority w:val="99"/>
    <w:semiHidden/>
    <w:unhideWhenUsed/>
    <w:rsid w:val="009952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52E8"/>
    <w:rPr>
      <w:rFonts w:ascii="Tahoma" w:hAnsi="Tahoma" w:cs="Tahoma"/>
      <w:sz w:val="16"/>
      <w:szCs w:val="16"/>
    </w:rPr>
  </w:style>
  <w:style w:type="paragraph" w:styleId="Titolo">
    <w:name w:val="Title"/>
    <w:basedOn w:val="Normale"/>
    <w:next w:val="Normale"/>
    <w:link w:val="TitoloCarattere"/>
    <w:uiPriority w:val="10"/>
    <w:qFormat/>
    <w:rsid w:val="005025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5025AB"/>
    <w:rPr>
      <w:rFonts w:asciiTheme="majorHAnsi" w:eastAsiaTheme="majorEastAsia" w:hAnsiTheme="majorHAnsi" w:cstheme="majorBidi"/>
      <w:color w:val="17365D" w:themeColor="text2" w:themeShade="BF"/>
      <w:spacing w:val="5"/>
      <w:kern w:val="28"/>
      <w:sz w:val="52"/>
      <w:szCs w:val="52"/>
    </w:rPr>
  </w:style>
  <w:style w:type="character" w:styleId="Menzionenonrisolta">
    <w:name w:val="Unresolved Mention"/>
    <w:basedOn w:val="Carpredefinitoparagrafo"/>
    <w:uiPriority w:val="99"/>
    <w:semiHidden/>
    <w:unhideWhenUsed/>
    <w:rsid w:val="00A83DE0"/>
    <w:rPr>
      <w:color w:val="605E5C"/>
      <w:shd w:val="clear" w:color="auto" w:fill="E1DFDD"/>
    </w:rPr>
  </w:style>
  <w:style w:type="paragraph" w:styleId="NormaleWeb">
    <w:name w:val="Normal (Web)"/>
    <w:basedOn w:val="Normale"/>
    <w:uiPriority w:val="99"/>
    <w:semiHidden/>
    <w:unhideWhenUsed/>
    <w:rsid w:val="004C29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1793">
      <w:bodyDiv w:val="1"/>
      <w:marLeft w:val="0"/>
      <w:marRight w:val="0"/>
      <w:marTop w:val="0"/>
      <w:marBottom w:val="0"/>
      <w:divBdr>
        <w:top w:val="none" w:sz="0" w:space="0" w:color="auto"/>
        <w:left w:val="none" w:sz="0" w:space="0" w:color="auto"/>
        <w:bottom w:val="none" w:sz="0" w:space="0" w:color="auto"/>
        <w:right w:val="none" w:sz="0" w:space="0" w:color="auto"/>
      </w:divBdr>
    </w:div>
    <w:div w:id="504708128">
      <w:bodyDiv w:val="1"/>
      <w:marLeft w:val="0"/>
      <w:marRight w:val="0"/>
      <w:marTop w:val="0"/>
      <w:marBottom w:val="0"/>
      <w:divBdr>
        <w:top w:val="none" w:sz="0" w:space="0" w:color="auto"/>
        <w:left w:val="none" w:sz="0" w:space="0" w:color="auto"/>
        <w:bottom w:val="none" w:sz="0" w:space="0" w:color="auto"/>
        <w:right w:val="none" w:sz="0" w:space="0" w:color="auto"/>
      </w:divBdr>
      <w:divsChild>
        <w:div w:id="1200322109">
          <w:marLeft w:val="0"/>
          <w:marRight w:val="0"/>
          <w:marTop w:val="0"/>
          <w:marBottom w:val="0"/>
          <w:divBdr>
            <w:top w:val="none" w:sz="0" w:space="0" w:color="auto"/>
            <w:left w:val="none" w:sz="0" w:space="0" w:color="auto"/>
            <w:bottom w:val="none" w:sz="0" w:space="0" w:color="auto"/>
            <w:right w:val="none" w:sz="0" w:space="0" w:color="auto"/>
          </w:divBdr>
          <w:divsChild>
            <w:div w:id="12858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9540">
      <w:bodyDiv w:val="1"/>
      <w:marLeft w:val="0"/>
      <w:marRight w:val="0"/>
      <w:marTop w:val="0"/>
      <w:marBottom w:val="0"/>
      <w:divBdr>
        <w:top w:val="none" w:sz="0" w:space="0" w:color="auto"/>
        <w:left w:val="none" w:sz="0" w:space="0" w:color="auto"/>
        <w:bottom w:val="none" w:sz="0" w:space="0" w:color="auto"/>
        <w:right w:val="none" w:sz="0" w:space="0" w:color="auto"/>
      </w:divBdr>
    </w:div>
    <w:div w:id="1362513003">
      <w:bodyDiv w:val="1"/>
      <w:marLeft w:val="0"/>
      <w:marRight w:val="0"/>
      <w:marTop w:val="0"/>
      <w:marBottom w:val="0"/>
      <w:divBdr>
        <w:top w:val="none" w:sz="0" w:space="0" w:color="auto"/>
        <w:left w:val="none" w:sz="0" w:space="0" w:color="auto"/>
        <w:bottom w:val="none" w:sz="0" w:space="0" w:color="auto"/>
        <w:right w:val="none" w:sz="0" w:space="0" w:color="auto"/>
      </w:divBdr>
      <w:divsChild>
        <w:div w:id="1061518126">
          <w:marLeft w:val="475"/>
          <w:marRight w:val="14"/>
          <w:marTop w:val="11"/>
          <w:marBottom w:val="0"/>
          <w:divBdr>
            <w:top w:val="none" w:sz="0" w:space="0" w:color="auto"/>
            <w:left w:val="none" w:sz="0" w:space="0" w:color="auto"/>
            <w:bottom w:val="none" w:sz="0" w:space="0" w:color="auto"/>
            <w:right w:val="none" w:sz="0" w:space="0" w:color="auto"/>
          </w:divBdr>
        </w:div>
        <w:div w:id="1277910947">
          <w:marLeft w:val="475"/>
          <w:marRight w:val="0"/>
          <w:marTop w:val="0"/>
          <w:marBottom w:val="0"/>
          <w:divBdr>
            <w:top w:val="none" w:sz="0" w:space="0" w:color="auto"/>
            <w:left w:val="none" w:sz="0" w:space="0" w:color="auto"/>
            <w:bottom w:val="none" w:sz="0" w:space="0" w:color="auto"/>
            <w:right w:val="none" w:sz="0" w:space="0" w:color="auto"/>
          </w:divBdr>
        </w:div>
        <w:div w:id="1891305104">
          <w:marLeft w:val="475"/>
          <w:marRight w:val="14"/>
          <w:marTop w:val="7"/>
          <w:marBottom w:val="0"/>
          <w:divBdr>
            <w:top w:val="none" w:sz="0" w:space="0" w:color="auto"/>
            <w:left w:val="none" w:sz="0" w:space="0" w:color="auto"/>
            <w:bottom w:val="none" w:sz="0" w:space="0" w:color="auto"/>
            <w:right w:val="none" w:sz="0" w:space="0" w:color="auto"/>
          </w:divBdr>
        </w:div>
        <w:div w:id="124350101">
          <w:marLeft w:val="475"/>
          <w:marRight w:val="14"/>
          <w:marTop w:val="21"/>
          <w:marBottom w:val="0"/>
          <w:divBdr>
            <w:top w:val="none" w:sz="0" w:space="0" w:color="auto"/>
            <w:left w:val="none" w:sz="0" w:space="0" w:color="auto"/>
            <w:bottom w:val="none" w:sz="0" w:space="0" w:color="auto"/>
            <w:right w:val="none" w:sz="0" w:space="0" w:color="auto"/>
          </w:divBdr>
        </w:div>
        <w:div w:id="701981518">
          <w:marLeft w:val="475"/>
          <w:marRight w:val="0"/>
          <w:marTop w:val="0"/>
          <w:marBottom w:val="0"/>
          <w:divBdr>
            <w:top w:val="none" w:sz="0" w:space="0" w:color="auto"/>
            <w:left w:val="none" w:sz="0" w:space="0" w:color="auto"/>
            <w:bottom w:val="none" w:sz="0" w:space="0" w:color="auto"/>
            <w:right w:val="none" w:sz="0" w:space="0" w:color="auto"/>
          </w:divBdr>
        </w:div>
        <w:div w:id="1666741762">
          <w:marLeft w:val="475"/>
          <w:marRight w:val="14"/>
          <w:marTop w:val="6"/>
          <w:marBottom w:val="0"/>
          <w:divBdr>
            <w:top w:val="none" w:sz="0" w:space="0" w:color="auto"/>
            <w:left w:val="none" w:sz="0" w:space="0" w:color="auto"/>
            <w:bottom w:val="none" w:sz="0" w:space="0" w:color="auto"/>
            <w:right w:val="none" w:sz="0" w:space="0" w:color="auto"/>
          </w:divBdr>
        </w:div>
      </w:divsChild>
    </w:div>
    <w:div w:id="19731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F7D3-9A94-48E2-9927-497695D3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2308</Words>
  <Characters>13156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manenti</dc:creator>
  <cp:lastModifiedBy>tecnico@andalogestioni.it</cp:lastModifiedBy>
  <cp:revision>3</cp:revision>
  <cp:lastPrinted>2023-09-27T09:33:00Z</cp:lastPrinted>
  <dcterms:created xsi:type="dcterms:W3CDTF">2023-09-27T09:33:00Z</dcterms:created>
  <dcterms:modified xsi:type="dcterms:W3CDTF">2023-09-27T09:34:00Z</dcterms:modified>
</cp:coreProperties>
</file>