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182514" w14:textId="77777777" w:rsidR="00C27B23" w:rsidRPr="0041405A" w:rsidRDefault="0048249A">
      <w:pPr>
        <w:pStyle w:val="Titolo"/>
        <w:pageBreakBefore/>
        <w:rPr>
          <w:rFonts w:ascii="Titillium" w:hAnsi="Titillium"/>
          <w:sz w:val="20"/>
          <w:szCs w:val="20"/>
        </w:rPr>
      </w:pPr>
      <w:r w:rsidRPr="0041405A">
        <w:rPr>
          <w:rFonts w:ascii="Titillium" w:hAnsi="Titillium"/>
          <w:sz w:val="20"/>
          <w:szCs w:val="20"/>
        </w:rPr>
        <w:t xml:space="preserve">Scheda di sintesi sulla rilevazione degli OIV o </w:t>
      </w:r>
      <w:r w:rsidR="009A5646" w:rsidRPr="0041405A">
        <w:rPr>
          <w:rFonts w:ascii="Titillium" w:hAnsi="Titillium"/>
          <w:sz w:val="20"/>
          <w:szCs w:val="20"/>
        </w:rPr>
        <w:t>organismi con funzioni analoghe</w:t>
      </w:r>
    </w:p>
    <w:p w14:paraId="67533041" w14:textId="77777777" w:rsidR="00C27B23" w:rsidRPr="0041405A" w:rsidRDefault="00C27B23">
      <w:pPr>
        <w:pStyle w:val="Paragrafoelenco"/>
        <w:ind w:left="0" w:firstLine="0"/>
        <w:rPr>
          <w:rFonts w:ascii="Titillium" w:hAnsi="Titillium"/>
          <w:sz w:val="20"/>
          <w:szCs w:val="20"/>
        </w:rPr>
      </w:pPr>
    </w:p>
    <w:p w14:paraId="7D6F0C18" w14:textId="77777777" w:rsidR="00C27B23" w:rsidRPr="003D4260" w:rsidRDefault="0048249A">
      <w:pPr>
        <w:pStyle w:val="Paragrafoelenco"/>
        <w:spacing w:line="360" w:lineRule="auto"/>
        <w:ind w:left="0" w:firstLine="0"/>
        <w:rPr>
          <w:rFonts w:ascii="Titillium" w:hAnsi="Titillium"/>
          <w:b/>
          <w:i/>
          <w:sz w:val="20"/>
          <w:szCs w:val="20"/>
        </w:rPr>
      </w:pPr>
      <w:r w:rsidRPr="003D4260">
        <w:rPr>
          <w:rFonts w:ascii="Titillium" w:hAnsi="Titillium"/>
          <w:b/>
          <w:i/>
          <w:sz w:val="20"/>
          <w:szCs w:val="20"/>
        </w:rPr>
        <w:t>Data di svolgimento della rilevazione</w:t>
      </w:r>
    </w:p>
    <w:p w14:paraId="282FF6CC" w14:textId="5CE7D23C" w:rsidR="00C27B23" w:rsidRPr="003D4260" w:rsidRDefault="00F901B7">
      <w:pPr>
        <w:pStyle w:val="Paragrafoelenco"/>
        <w:spacing w:after="0" w:line="276" w:lineRule="auto"/>
        <w:ind w:left="0" w:firstLine="0"/>
        <w:rPr>
          <w:rFonts w:ascii="Titillium" w:hAnsi="Titillium"/>
          <w:sz w:val="20"/>
          <w:szCs w:val="20"/>
        </w:rPr>
      </w:pPr>
      <w:r>
        <w:rPr>
          <w:rFonts w:ascii="Titillium" w:hAnsi="Titillium"/>
          <w:sz w:val="20"/>
          <w:szCs w:val="20"/>
        </w:rPr>
        <w:t>1</w:t>
      </w:r>
      <w:r w:rsidR="00BA1FF9">
        <w:rPr>
          <w:rFonts w:ascii="Titillium" w:hAnsi="Titillium"/>
          <w:sz w:val="20"/>
          <w:szCs w:val="20"/>
        </w:rPr>
        <w:t>6</w:t>
      </w:r>
      <w:r w:rsidR="00BE0E55" w:rsidRPr="003D4260">
        <w:rPr>
          <w:rFonts w:ascii="Titillium" w:hAnsi="Titillium"/>
          <w:sz w:val="20"/>
          <w:szCs w:val="20"/>
        </w:rPr>
        <w:t>/06/2021</w:t>
      </w:r>
    </w:p>
    <w:p w14:paraId="531BB02C" w14:textId="776AEC1B" w:rsidR="00C27B23" w:rsidRPr="0041405A" w:rsidRDefault="00FC7906">
      <w:pPr>
        <w:pStyle w:val="Paragrafoelenco"/>
        <w:spacing w:line="276" w:lineRule="auto"/>
        <w:ind w:left="0" w:firstLine="0"/>
        <w:rPr>
          <w:rFonts w:ascii="Titillium" w:hAnsi="Titillium"/>
          <w:sz w:val="20"/>
          <w:szCs w:val="20"/>
          <w:u w:val="single"/>
        </w:rPr>
      </w:pPr>
      <w:r w:rsidRPr="003D4260">
        <w:rPr>
          <w:rFonts w:ascii="Titillium" w:hAnsi="Titillium"/>
          <w:sz w:val="20"/>
          <w:szCs w:val="20"/>
        </w:rPr>
        <w:t>I</w:t>
      </w:r>
      <w:r w:rsidR="0048249A" w:rsidRPr="003D4260">
        <w:rPr>
          <w:rFonts w:ascii="Titillium" w:hAnsi="Titillium"/>
          <w:sz w:val="20"/>
          <w:szCs w:val="20"/>
        </w:rPr>
        <w:t xml:space="preserve">ndicare la </w:t>
      </w:r>
      <w:r w:rsidR="0048249A" w:rsidRPr="003D4260">
        <w:rPr>
          <w:rFonts w:ascii="Titillium" w:hAnsi="Titillium"/>
          <w:sz w:val="20"/>
          <w:szCs w:val="20"/>
          <w:u w:val="single"/>
        </w:rPr>
        <w:t>data di inizio e di fine</w:t>
      </w:r>
      <w:r w:rsidRPr="003D4260">
        <w:rPr>
          <w:rFonts w:ascii="Titillium" w:hAnsi="Titillium"/>
          <w:sz w:val="20"/>
          <w:szCs w:val="20"/>
        </w:rPr>
        <w:t xml:space="preserve"> della rilevazione</w:t>
      </w:r>
      <w:r w:rsidR="00BE0E55" w:rsidRPr="003D4260">
        <w:rPr>
          <w:rFonts w:ascii="Titillium" w:hAnsi="Titillium"/>
          <w:sz w:val="20"/>
          <w:szCs w:val="20"/>
        </w:rPr>
        <w:t xml:space="preserve">: </w:t>
      </w:r>
      <w:r w:rsidR="00F901B7">
        <w:rPr>
          <w:rFonts w:ascii="Titillium" w:hAnsi="Titillium"/>
          <w:sz w:val="20"/>
          <w:szCs w:val="20"/>
        </w:rPr>
        <w:t>1</w:t>
      </w:r>
      <w:r w:rsidR="00BA1FF9">
        <w:rPr>
          <w:rFonts w:ascii="Titillium" w:hAnsi="Titillium"/>
          <w:sz w:val="20"/>
          <w:szCs w:val="20"/>
        </w:rPr>
        <w:t>6</w:t>
      </w:r>
      <w:r w:rsidR="00BE0E55" w:rsidRPr="003D4260">
        <w:rPr>
          <w:rFonts w:ascii="Titillium" w:hAnsi="Titillium"/>
          <w:sz w:val="20"/>
          <w:szCs w:val="20"/>
        </w:rPr>
        <w:t>/06/2021</w:t>
      </w:r>
    </w:p>
    <w:p w14:paraId="68426D6F" w14:textId="77777777" w:rsidR="00C27B23" w:rsidRPr="0041405A" w:rsidRDefault="00C27B23">
      <w:pPr>
        <w:pStyle w:val="Paragrafoelenco"/>
        <w:spacing w:line="276" w:lineRule="auto"/>
        <w:ind w:left="0" w:firstLine="0"/>
        <w:rPr>
          <w:rFonts w:ascii="Titillium" w:hAnsi="Titillium"/>
          <w:sz w:val="20"/>
          <w:szCs w:val="20"/>
        </w:rPr>
      </w:pPr>
    </w:p>
    <w:p w14:paraId="576D3947" w14:textId="77777777" w:rsidR="00C27B23" w:rsidRPr="00BE0E55" w:rsidRDefault="0048249A">
      <w:pPr>
        <w:pStyle w:val="Paragrafoelenco"/>
        <w:spacing w:after="0"/>
        <w:ind w:left="0" w:firstLine="0"/>
        <w:rPr>
          <w:rFonts w:ascii="Titillium" w:hAnsi="Titillium"/>
          <w:b/>
          <w:i/>
          <w:strike/>
          <w:sz w:val="20"/>
          <w:szCs w:val="20"/>
        </w:rPr>
      </w:pPr>
      <w:r w:rsidRPr="00BE0E55">
        <w:rPr>
          <w:rFonts w:ascii="Titillium" w:hAnsi="Titillium"/>
          <w:b/>
          <w:i/>
          <w:strike/>
          <w:sz w:val="20"/>
          <w:szCs w:val="20"/>
        </w:rPr>
        <w:t xml:space="preserve">Estensione della rilevazione (nel </w:t>
      </w:r>
      <w:r w:rsidR="00FC7906" w:rsidRPr="00BE0E55">
        <w:rPr>
          <w:rFonts w:ascii="Titillium" w:hAnsi="Titillium"/>
          <w:b/>
          <w:i/>
          <w:strike/>
          <w:sz w:val="20"/>
          <w:szCs w:val="20"/>
        </w:rPr>
        <w:t xml:space="preserve">solo </w:t>
      </w:r>
      <w:r w:rsidRPr="00BE0E55">
        <w:rPr>
          <w:rFonts w:ascii="Titillium" w:hAnsi="Titillium"/>
          <w:b/>
          <w:i/>
          <w:strike/>
          <w:sz w:val="20"/>
          <w:szCs w:val="20"/>
        </w:rPr>
        <w:t>caso di ammin</w:t>
      </w:r>
      <w:r w:rsidR="007A107C" w:rsidRPr="00BE0E55">
        <w:rPr>
          <w:rFonts w:ascii="Titillium" w:hAnsi="Titillium"/>
          <w:b/>
          <w:i/>
          <w:strike/>
          <w:sz w:val="20"/>
          <w:szCs w:val="20"/>
        </w:rPr>
        <w:t>istrazioni</w:t>
      </w:r>
      <w:r w:rsidR="00FC7906" w:rsidRPr="00BE0E55">
        <w:rPr>
          <w:rFonts w:ascii="Titillium" w:hAnsi="Titillium"/>
          <w:b/>
          <w:i/>
          <w:strike/>
          <w:sz w:val="20"/>
          <w:szCs w:val="20"/>
        </w:rPr>
        <w:t>/enti</w:t>
      </w:r>
      <w:r w:rsidR="007A107C" w:rsidRPr="00BE0E55">
        <w:rPr>
          <w:rFonts w:ascii="Titillium" w:hAnsi="Titillium"/>
          <w:b/>
          <w:i/>
          <w:strike/>
          <w:sz w:val="20"/>
          <w:szCs w:val="20"/>
        </w:rPr>
        <w:t xml:space="preserve"> con uffici periferici)</w:t>
      </w:r>
    </w:p>
    <w:p w14:paraId="143B3F99" w14:textId="77777777" w:rsidR="00C27B23" w:rsidRPr="00BE0E55" w:rsidRDefault="00C27B23">
      <w:pPr>
        <w:pStyle w:val="Paragrafoelenco"/>
        <w:spacing w:after="0"/>
        <w:ind w:left="0" w:firstLine="0"/>
        <w:rPr>
          <w:rFonts w:ascii="Titillium" w:hAnsi="Titillium"/>
          <w:b/>
          <w:strike/>
          <w:sz w:val="20"/>
          <w:szCs w:val="20"/>
          <w:u w:val="single"/>
        </w:rPr>
      </w:pPr>
    </w:p>
    <w:p w14:paraId="40038C26" w14:textId="77777777" w:rsidR="00C27B23" w:rsidRPr="00BE0E55" w:rsidRDefault="0048249A" w:rsidP="007A107C">
      <w:pPr>
        <w:pStyle w:val="Paragrafoelenco"/>
        <w:spacing w:after="0" w:line="360" w:lineRule="auto"/>
        <w:ind w:left="0" w:firstLine="0"/>
        <w:rPr>
          <w:rFonts w:ascii="Titillium" w:hAnsi="Titillium"/>
          <w:strike/>
          <w:sz w:val="20"/>
          <w:szCs w:val="20"/>
        </w:rPr>
      </w:pPr>
      <w:r w:rsidRPr="00BE0E55">
        <w:rPr>
          <w:rFonts w:ascii="Titillium" w:hAnsi="Titillium"/>
          <w:strike/>
          <w:sz w:val="20"/>
          <w:szCs w:val="20"/>
        </w:rPr>
        <w:t>Indicare il numero complessivo degli uffici periferici esistenti</w:t>
      </w:r>
      <w:r w:rsidR="00713BFD" w:rsidRPr="00BE0E55">
        <w:rPr>
          <w:rFonts w:ascii="Titillium" w:hAnsi="Titillium"/>
          <w:strike/>
          <w:sz w:val="20"/>
          <w:szCs w:val="20"/>
        </w:rPr>
        <w:t xml:space="preserve"> e, se diverse, le tipologie di uffici periferici</w:t>
      </w:r>
      <w:r w:rsidRPr="00BE0E55">
        <w:rPr>
          <w:rFonts w:ascii="Titillium" w:hAnsi="Titillium"/>
          <w:strike/>
          <w:sz w:val="20"/>
          <w:szCs w:val="20"/>
        </w:rPr>
        <w:t>.</w:t>
      </w:r>
    </w:p>
    <w:p w14:paraId="63247727" w14:textId="77777777" w:rsidR="00C27B23" w:rsidRPr="00BE0E55" w:rsidRDefault="0048249A" w:rsidP="00713BFD">
      <w:pPr>
        <w:pStyle w:val="Paragrafoelenco"/>
        <w:spacing w:after="0" w:line="360" w:lineRule="auto"/>
        <w:ind w:left="0" w:firstLine="0"/>
        <w:rPr>
          <w:rFonts w:ascii="Titillium" w:hAnsi="Titillium"/>
          <w:strike/>
          <w:sz w:val="20"/>
          <w:szCs w:val="20"/>
        </w:rPr>
      </w:pPr>
      <w:r w:rsidRPr="00BE0E55">
        <w:rPr>
          <w:rFonts w:ascii="Titillium" w:hAnsi="Titillium"/>
          <w:strike/>
          <w:sz w:val="20"/>
          <w:szCs w:val="20"/>
        </w:rPr>
        <w:t>Per la formazione del campione di uffici periferici su cui effettuare la rilevazione, indicare</w:t>
      </w:r>
      <w:r w:rsidR="00713BFD" w:rsidRPr="00BE0E55">
        <w:rPr>
          <w:rFonts w:ascii="Titillium" w:hAnsi="Titillium"/>
          <w:strike/>
          <w:sz w:val="20"/>
          <w:szCs w:val="20"/>
        </w:rPr>
        <w:t xml:space="preserve"> </w:t>
      </w:r>
      <w:r w:rsidRPr="00BE0E55">
        <w:rPr>
          <w:rFonts w:ascii="Titillium" w:hAnsi="Titillium"/>
          <w:strike/>
          <w:sz w:val="20"/>
          <w:szCs w:val="20"/>
        </w:rPr>
        <w:t>il criterio di selezione del campione</w:t>
      </w:r>
      <w:r w:rsidR="00713BFD" w:rsidRPr="00BE0E55">
        <w:rPr>
          <w:rFonts w:ascii="Titillium" w:hAnsi="Titillium"/>
          <w:strike/>
          <w:sz w:val="20"/>
          <w:szCs w:val="20"/>
        </w:rPr>
        <w:t>.</w:t>
      </w:r>
    </w:p>
    <w:p w14:paraId="08FBFBD9" w14:textId="77777777" w:rsidR="00C27B23" w:rsidRPr="0041405A" w:rsidRDefault="00713BFD" w:rsidP="00713BFD">
      <w:pPr>
        <w:tabs>
          <w:tab w:val="left" w:pos="0"/>
        </w:tabs>
        <w:spacing w:after="0" w:line="360" w:lineRule="auto"/>
        <w:rPr>
          <w:rFonts w:ascii="Titillium" w:hAnsi="Titillium"/>
          <w:sz w:val="20"/>
          <w:szCs w:val="20"/>
        </w:rPr>
      </w:pPr>
      <w:r w:rsidRPr="00BE0E55">
        <w:rPr>
          <w:rFonts w:ascii="Titillium" w:hAnsi="Titillium"/>
          <w:strike/>
          <w:sz w:val="20"/>
          <w:szCs w:val="20"/>
        </w:rPr>
        <w:t xml:space="preserve">Riportare </w:t>
      </w:r>
      <w:r w:rsidR="0048249A" w:rsidRPr="00BE0E55">
        <w:rPr>
          <w:rFonts w:ascii="Titillium" w:hAnsi="Titillium"/>
          <w:strike/>
          <w:sz w:val="20"/>
          <w:szCs w:val="20"/>
        </w:rPr>
        <w:t>l’elenco degli uffici periferici</w:t>
      </w:r>
      <w:r w:rsidRPr="00BE0E55">
        <w:rPr>
          <w:rFonts w:ascii="Titillium" w:hAnsi="Titillium"/>
          <w:strike/>
          <w:sz w:val="20"/>
          <w:szCs w:val="20"/>
        </w:rPr>
        <w:t xml:space="preserve"> selezionati</w:t>
      </w:r>
      <w:r w:rsidR="008A0378" w:rsidRPr="0041405A">
        <w:rPr>
          <w:rFonts w:ascii="Titillium" w:hAnsi="Titillium"/>
          <w:sz w:val="20"/>
          <w:szCs w:val="20"/>
        </w:rPr>
        <w:t>.</w:t>
      </w:r>
    </w:p>
    <w:p w14:paraId="45F95DCB" w14:textId="77777777" w:rsidR="00C27B23" w:rsidRPr="0041405A" w:rsidRDefault="00C27B23">
      <w:pPr>
        <w:pStyle w:val="Paragrafoelenco"/>
        <w:spacing w:after="0" w:line="276" w:lineRule="auto"/>
        <w:ind w:left="720" w:firstLine="0"/>
        <w:rPr>
          <w:rFonts w:ascii="Titillium" w:hAnsi="Titillium"/>
          <w:sz w:val="20"/>
          <w:szCs w:val="20"/>
        </w:rPr>
      </w:pPr>
    </w:p>
    <w:p w14:paraId="0A9003CD" w14:textId="77777777" w:rsidR="00C27B23" w:rsidRPr="0041405A" w:rsidRDefault="0048249A">
      <w:pPr>
        <w:pStyle w:val="Paragrafoelenco"/>
        <w:spacing w:line="360" w:lineRule="auto"/>
        <w:ind w:left="0" w:firstLine="0"/>
        <w:rPr>
          <w:rFonts w:ascii="Titillium" w:hAnsi="Titillium"/>
          <w:b/>
          <w:i/>
          <w:sz w:val="20"/>
          <w:szCs w:val="20"/>
        </w:rPr>
      </w:pPr>
      <w:r w:rsidRPr="0041405A">
        <w:rPr>
          <w:rFonts w:ascii="Titillium" w:hAnsi="Titillium"/>
          <w:b/>
          <w:i/>
          <w:sz w:val="20"/>
          <w:szCs w:val="20"/>
        </w:rPr>
        <w:t xml:space="preserve">Procedure e modalità seguite per la rilevazione </w:t>
      </w:r>
    </w:p>
    <w:p w14:paraId="51EE74C9" w14:textId="77777777" w:rsidR="00C27B23" w:rsidRPr="0041405A" w:rsidRDefault="0048249A" w:rsidP="007A107C">
      <w:pPr>
        <w:pStyle w:val="Paragrafoelenco"/>
        <w:spacing w:after="0" w:line="360" w:lineRule="auto"/>
        <w:ind w:left="0" w:firstLine="0"/>
        <w:rPr>
          <w:rFonts w:ascii="Titillium" w:hAnsi="Titillium"/>
          <w:sz w:val="20"/>
          <w:szCs w:val="20"/>
        </w:rPr>
      </w:pPr>
      <w:r w:rsidRPr="0041405A">
        <w:rPr>
          <w:rFonts w:ascii="Titillium" w:hAnsi="Titillium"/>
          <w:sz w:val="20"/>
          <w:szCs w:val="20"/>
        </w:rPr>
        <w:t>Indicare il procedimento e le modalità seguite per condurre la rilevazione.</w:t>
      </w:r>
    </w:p>
    <w:p w14:paraId="44032E64" w14:textId="77777777" w:rsidR="00C27B23" w:rsidRPr="003D4260" w:rsidRDefault="0048249A" w:rsidP="007A107C">
      <w:pPr>
        <w:pStyle w:val="Default"/>
        <w:spacing w:line="360" w:lineRule="auto"/>
        <w:jc w:val="both"/>
        <w:rPr>
          <w:rFonts w:ascii="Titillium" w:hAnsi="Titillium"/>
          <w:sz w:val="20"/>
          <w:szCs w:val="20"/>
        </w:rPr>
      </w:pPr>
      <w:r w:rsidRPr="0041405A">
        <w:rPr>
          <w:rFonts w:ascii="Titillium" w:hAnsi="Titillium"/>
          <w:sz w:val="20"/>
          <w:szCs w:val="20"/>
        </w:rPr>
        <w:t xml:space="preserve">A titolo esemplificativo e non esaustivo, si indicano alcune modalità, non alternative fra loro, che potrebbero essere </w:t>
      </w:r>
      <w:r w:rsidRPr="003D4260">
        <w:rPr>
          <w:rFonts w:ascii="Titillium" w:hAnsi="Titillium"/>
          <w:sz w:val="20"/>
          <w:szCs w:val="20"/>
        </w:rPr>
        <w:t>seguite:</w:t>
      </w:r>
    </w:p>
    <w:p w14:paraId="29156C06" w14:textId="77777777" w:rsidR="00C27B23" w:rsidRPr="003D4260" w:rsidRDefault="0048249A" w:rsidP="007A107C">
      <w:pPr>
        <w:pStyle w:val="Default"/>
        <w:numPr>
          <w:ilvl w:val="0"/>
          <w:numId w:val="3"/>
        </w:numPr>
        <w:tabs>
          <w:tab w:val="left" w:pos="0"/>
        </w:tabs>
        <w:spacing w:line="360" w:lineRule="auto"/>
        <w:jc w:val="both"/>
        <w:rPr>
          <w:rFonts w:ascii="Titillium" w:hAnsi="Titillium"/>
          <w:sz w:val="20"/>
          <w:szCs w:val="20"/>
        </w:rPr>
      </w:pPr>
      <w:r w:rsidRPr="003D4260">
        <w:rPr>
          <w:rFonts w:ascii="Titillium" w:hAnsi="Titillium"/>
          <w:sz w:val="20"/>
          <w:szCs w:val="20"/>
        </w:rPr>
        <w:t>esame della documentazione e delle banche dati relative ai dati oggetto di attestazione;</w:t>
      </w:r>
    </w:p>
    <w:p w14:paraId="35DDFB58" w14:textId="77777777" w:rsidR="00C27B23" w:rsidRPr="003D4260" w:rsidRDefault="0048249A" w:rsidP="007A107C">
      <w:pPr>
        <w:pStyle w:val="Default"/>
        <w:numPr>
          <w:ilvl w:val="0"/>
          <w:numId w:val="3"/>
        </w:numPr>
        <w:tabs>
          <w:tab w:val="left" w:pos="0"/>
        </w:tabs>
        <w:spacing w:line="360" w:lineRule="auto"/>
        <w:jc w:val="both"/>
        <w:rPr>
          <w:rFonts w:ascii="Titillium" w:hAnsi="Titillium"/>
          <w:sz w:val="20"/>
          <w:szCs w:val="20"/>
        </w:rPr>
      </w:pPr>
      <w:r w:rsidRPr="003D4260">
        <w:rPr>
          <w:rFonts w:ascii="Titillium" w:hAnsi="Titillium"/>
          <w:sz w:val="20"/>
          <w:szCs w:val="20"/>
        </w:rPr>
        <w:t>colloqui con i responsabili della trasmissione dei dati;</w:t>
      </w:r>
    </w:p>
    <w:p w14:paraId="20003EA8" w14:textId="77777777" w:rsidR="00C27B23" w:rsidRPr="003D4260" w:rsidRDefault="0048249A" w:rsidP="007A107C">
      <w:pPr>
        <w:pStyle w:val="Default"/>
        <w:numPr>
          <w:ilvl w:val="0"/>
          <w:numId w:val="3"/>
        </w:numPr>
        <w:tabs>
          <w:tab w:val="left" w:pos="0"/>
        </w:tabs>
        <w:spacing w:line="360" w:lineRule="auto"/>
        <w:jc w:val="both"/>
        <w:rPr>
          <w:rFonts w:ascii="Titillium" w:hAnsi="Titillium"/>
          <w:sz w:val="20"/>
          <w:szCs w:val="20"/>
        </w:rPr>
      </w:pPr>
      <w:r w:rsidRPr="003D4260">
        <w:rPr>
          <w:rFonts w:ascii="Titillium" w:hAnsi="Titillium"/>
          <w:sz w:val="20"/>
          <w:szCs w:val="20"/>
        </w:rPr>
        <w:t>colloqui con i responsabili della pubblicazione dei dati;</w:t>
      </w:r>
    </w:p>
    <w:p w14:paraId="447064C9" w14:textId="0A0E608D" w:rsidR="00C27B23" w:rsidRPr="003D4260" w:rsidRDefault="0048249A" w:rsidP="007A107C">
      <w:pPr>
        <w:pStyle w:val="Default"/>
        <w:numPr>
          <w:ilvl w:val="0"/>
          <w:numId w:val="3"/>
        </w:numPr>
        <w:tabs>
          <w:tab w:val="left" w:pos="0"/>
        </w:tabs>
        <w:spacing w:line="360" w:lineRule="auto"/>
        <w:jc w:val="both"/>
        <w:rPr>
          <w:rFonts w:ascii="Titillium" w:hAnsi="Titillium"/>
          <w:sz w:val="20"/>
          <w:szCs w:val="20"/>
        </w:rPr>
      </w:pPr>
      <w:r w:rsidRPr="003D4260">
        <w:rPr>
          <w:rFonts w:ascii="Titillium" w:hAnsi="Titillium"/>
          <w:sz w:val="20"/>
          <w:szCs w:val="20"/>
        </w:rPr>
        <w:t xml:space="preserve">verifica </w:t>
      </w:r>
      <w:r w:rsidR="00713BFD" w:rsidRPr="003D4260">
        <w:rPr>
          <w:rFonts w:ascii="Titillium" w:hAnsi="Titillium"/>
          <w:sz w:val="20"/>
          <w:szCs w:val="20"/>
        </w:rPr>
        <w:t xml:space="preserve">diretta </w:t>
      </w:r>
      <w:r w:rsidRPr="003D4260">
        <w:rPr>
          <w:rFonts w:ascii="Titillium" w:hAnsi="Titillium"/>
          <w:sz w:val="20"/>
          <w:szCs w:val="20"/>
        </w:rPr>
        <w:t>sul sito istituzionale, anche attraverso l’utilizzo di supporti informatici</w:t>
      </w:r>
      <w:r w:rsidR="008A0378" w:rsidRPr="003D4260">
        <w:rPr>
          <w:rFonts w:ascii="Titillium" w:hAnsi="Titillium"/>
          <w:sz w:val="20"/>
          <w:szCs w:val="20"/>
        </w:rPr>
        <w:t>.</w:t>
      </w:r>
      <w:r w:rsidR="009B2DF6" w:rsidRPr="003D4260">
        <w:rPr>
          <w:rFonts w:ascii="Titillium" w:hAnsi="Titillium"/>
          <w:sz w:val="20"/>
          <w:szCs w:val="20"/>
        </w:rPr>
        <w:t xml:space="preserve"> </w:t>
      </w:r>
    </w:p>
    <w:p w14:paraId="26D73DE0" w14:textId="77777777" w:rsidR="00C27B23" w:rsidRPr="0041405A" w:rsidRDefault="00C27B23">
      <w:pPr>
        <w:spacing w:line="360" w:lineRule="auto"/>
        <w:rPr>
          <w:rFonts w:ascii="Titillium" w:hAnsi="Titillium"/>
          <w:sz w:val="20"/>
          <w:szCs w:val="20"/>
          <w:u w:val="single"/>
        </w:rPr>
      </w:pPr>
    </w:p>
    <w:p w14:paraId="2A6D7F76" w14:textId="77777777" w:rsidR="00C27B23" w:rsidRPr="0041405A" w:rsidRDefault="0048249A">
      <w:pPr>
        <w:spacing w:line="360" w:lineRule="auto"/>
        <w:rPr>
          <w:rFonts w:ascii="Titillium" w:hAnsi="Titillium"/>
          <w:b/>
          <w:i/>
          <w:sz w:val="20"/>
          <w:szCs w:val="20"/>
        </w:rPr>
      </w:pPr>
      <w:r w:rsidRPr="0041405A">
        <w:rPr>
          <w:rFonts w:ascii="Titillium" w:hAnsi="Titillium"/>
          <w:b/>
          <w:i/>
          <w:sz w:val="20"/>
          <w:szCs w:val="20"/>
        </w:rPr>
        <w:t>Aspetti critici riscontrati nel corso della rilevazione</w:t>
      </w:r>
    </w:p>
    <w:p w14:paraId="45BF977A" w14:textId="579ABDC8" w:rsidR="00C27B23" w:rsidRPr="00BE0E55" w:rsidRDefault="00BE0E55">
      <w:pPr>
        <w:spacing w:line="360" w:lineRule="auto"/>
        <w:rPr>
          <w:rFonts w:ascii="Titillium" w:hAnsi="Titillium"/>
          <w:bCs/>
          <w:sz w:val="20"/>
          <w:szCs w:val="20"/>
        </w:rPr>
      </w:pPr>
      <w:r w:rsidRPr="003D4260">
        <w:rPr>
          <w:rFonts w:ascii="Titillium" w:hAnsi="Titillium"/>
          <w:bCs/>
          <w:sz w:val="20"/>
          <w:szCs w:val="20"/>
        </w:rPr>
        <w:t xml:space="preserve">Difformità della normativa regionale di riferimento, applicabile alle </w:t>
      </w:r>
      <w:r w:rsidR="00E855D4">
        <w:rPr>
          <w:rFonts w:ascii="Titillium" w:hAnsi="Titillium"/>
          <w:bCs/>
          <w:sz w:val="20"/>
          <w:szCs w:val="20"/>
        </w:rPr>
        <w:t>aziende in house</w:t>
      </w:r>
      <w:r w:rsidRPr="003D4260">
        <w:rPr>
          <w:rFonts w:ascii="Titillium" w:hAnsi="Titillium"/>
          <w:bCs/>
          <w:sz w:val="20"/>
          <w:szCs w:val="20"/>
        </w:rPr>
        <w:t xml:space="preserve"> in tema di Trasparenza, da quella nazionale.</w:t>
      </w:r>
    </w:p>
    <w:p w14:paraId="6222F358" w14:textId="77777777" w:rsidR="008A0378" w:rsidRPr="0041405A" w:rsidRDefault="008A0378">
      <w:pPr>
        <w:spacing w:line="360" w:lineRule="auto"/>
        <w:rPr>
          <w:rFonts w:ascii="Titillium" w:hAnsi="Titillium"/>
          <w:b/>
          <w:sz w:val="20"/>
          <w:szCs w:val="20"/>
          <w:u w:val="single"/>
        </w:rPr>
      </w:pPr>
    </w:p>
    <w:p w14:paraId="71DE5081" w14:textId="77777777" w:rsidR="00C27B23" w:rsidRPr="0041405A" w:rsidRDefault="0048249A">
      <w:pPr>
        <w:spacing w:line="360" w:lineRule="auto"/>
        <w:rPr>
          <w:rFonts w:ascii="Titillium" w:hAnsi="Titillium"/>
          <w:b/>
          <w:i/>
          <w:sz w:val="20"/>
          <w:szCs w:val="20"/>
        </w:rPr>
      </w:pPr>
      <w:r w:rsidRPr="0041405A">
        <w:rPr>
          <w:rFonts w:ascii="Titillium" w:hAnsi="Titillium"/>
          <w:b/>
          <w:i/>
          <w:sz w:val="20"/>
          <w:szCs w:val="20"/>
        </w:rPr>
        <w:t>Eventuale documentazione da allegare</w:t>
      </w:r>
    </w:p>
    <w:sectPr w:rsidR="00C27B23" w:rsidRPr="0041405A">
      <w:headerReference w:type="default" r:id="rId7"/>
      <w:pgSz w:w="11906" w:h="16838"/>
      <w:pgMar w:top="1417" w:right="1134" w:bottom="708" w:left="1134" w:header="708" w:footer="0" w:gutter="0"/>
      <w:cols w:space="720"/>
      <w:formProt w:val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B2D35A" w14:textId="77777777" w:rsidR="0036711F" w:rsidRDefault="0036711F">
      <w:pPr>
        <w:spacing w:after="0" w:line="240" w:lineRule="auto"/>
      </w:pPr>
      <w:r>
        <w:separator/>
      </w:r>
    </w:p>
  </w:endnote>
  <w:endnote w:type="continuationSeparator" w:id="0">
    <w:p w14:paraId="06DE11E5" w14:textId="77777777" w:rsidR="0036711F" w:rsidRDefault="003671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tillium">
    <w:altName w:val="Calibri"/>
    <w:panose1 w:val="00000000000000000000"/>
    <w:charset w:val="00"/>
    <w:family w:val="modern"/>
    <w:notTrueType/>
    <w:pitch w:val="variable"/>
    <w:sig w:usb0="00000007" w:usb1="00000001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A15D6E" w14:textId="77777777" w:rsidR="0036711F" w:rsidRDefault="0036711F">
      <w:pPr>
        <w:spacing w:after="0" w:line="240" w:lineRule="auto"/>
      </w:pPr>
      <w:r>
        <w:separator/>
      </w:r>
    </w:p>
  </w:footnote>
  <w:footnote w:type="continuationSeparator" w:id="0">
    <w:p w14:paraId="37EA33E9" w14:textId="77777777" w:rsidR="0036711F" w:rsidRDefault="003671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3DA167" w14:textId="77777777" w:rsidR="0085206C" w:rsidRDefault="0085206C" w:rsidP="006E496C">
    <w:pPr>
      <w:pStyle w:val="Intestazione"/>
      <w:jc w:val="right"/>
      <w:rPr>
        <w:rFonts w:ascii="Garamond" w:hAnsi="Garamond"/>
        <w:b/>
      </w:rPr>
    </w:pPr>
    <w:r>
      <w:rPr>
        <w:noProof/>
        <w:lang w:eastAsia="it-IT"/>
      </w:rPr>
      <w:drawing>
        <wp:anchor distT="0" distB="0" distL="114300" distR="114300" simplePos="0" relativeHeight="251657728" behindDoc="0" locked="0" layoutInCell="1" allowOverlap="1" wp14:anchorId="5DCEF8A4" wp14:editId="6825A09D">
          <wp:simplePos x="0" y="0"/>
          <wp:positionH relativeFrom="margin">
            <wp:posOffset>-271780</wp:posOffset>
          </wp:positionH>
          <wp:positionV relativeFrom="topMargin">
            <wp:posOffset>453390</wp:posOffset>
          </wp:positionV>
          <wp:extent cx="2879725" cy="341630"/>
          <wp:effectExtent l="0" t="0" r="0" b="1270"/>
          <wp:wrapSquare wrapText="bothSides"/>
          <wp:docPr id="5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1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79725" cy="341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865B253" w14:textId="77777777" w:rsidR="0085206C" w:rsidRDefault="0085206C" w:rsidP="006E496C">
    <w:pPr>
      <w:pStyle w:val="Intestazione"/>
      <w:jc w:val="right"/>
      <w:rPr>
        <w:rFonts w:ascii="Garamond" w:hAnsi="Garamond"/>
        <w:b/>
      </w:rPr>
    </w:pPr>
  </w:p>
  <w:p w14:paraId="7077060C" w14:textId="77777777" w:rsidR="0085206C" w:rsidRDefault="0085206C" w:rsidP="0085206C">
    <w:pPr>
      <w:pStyle w:val="Intestazione"/>
      <w:tabs>
        <w:tab w:val="left" w:pos="3878"/>
      </w:tabs>
      <w:rPr>
        <w:rFonts w:ascii="Garamond" w:hAnsi="Garamond"/>
        <w:b/>
      </w:rPr>
    </w:pPr>
    <w:r>
      <w:rPr>
        <w:rFonts w:ascii="Garamond" w:hAnsi="Garamond"/>
        <w:b/>
      </w:rPr>
      <w:tab/>
    </w:r>
    <w:r>
      <w:rPr>
        <w:rFonts w:ascii="Garamond" w:hAnsi="Garamond"/>
        <w:b/>
      </w:rPr>
      <w:tab/>
    </w:r>
  </w:p>
  <w:p w14:paraId="212FE9C8" w14:textId="77777777" w:rsidR="00C27B23" w:rsidRPr="000F2C0E" w:rsidRDefault="0048249A" w:rsidP="006E496C">
    <w:pPr>
      <w:pStyle w:val="Intestazione"/>
      <w:jc w:val="right"/>
      <w:rPr>
        <w:rFonts w:ascii="Titillium" w:hAnsi="Titillium" w:cs="Times New Roman"/>
        <w:b/>
        <w:sz w:val="20"/>
        <w:szCs w:val="20"/>
      </w:rPr>
    </w:pPr>
    <w:r w:rsidRPr="000F2C0E">
      <w:rPr>
        <w:rFonts w:ascii="Titillium" w:hAnsi="Titillium"/>
        <w:b/>
        <w:sz w:val="20"/>
        <w:szCs w:val="20"/>
      </w:rPr>
      <w:t xml:space="preserve">Allegato 3 alla </w:t>
    </w:r>
    <w:r w:rsidRPr="000F2C0E">
      <w:rPr>
        <w:rFonts w:ascii="Titillium" w:hAnsi="Titillium" w:cs="Times New Roman"/>
        <w:b/>
        <w:sz w:val="20"/>
        <w:szCs w:val="20"/>
      </w:rPr>
      <w:t>delibera</w:t>
    </w:r>
    <w:r w:rsidR="004833D5" w:rsidRPr="000F2C0E">
      <w:rPr>
        <w:rFonts w:ascii="Titillium" w:hAnsi="Titillium" w:cs="Times New Roman"/>
        <w:b/>
        <w:sz w:val="20"/>
        <w:szCs w:val="20"/>
      </w:rPr>
      <w:t xml:space="preserve"> ANAC</w:t>
    </w:r>
    <w:r w:rsidRPr="000F2C0E">
      <w:rPr>
        <w:rFonts w:ascii="Titillium" w:hAnsi="Titillium" w:cs="Times New Roman"/>
        <w:b/>
        <w:sz w:val="20"/>
        <w:szCs w:val="20"/>
      </w:rPr>
      <w:t xml:space="preserve"> n. </w:t>
    </w:r>
    <w:r w:rsidR="0041405A" w:rsidRPr="000F2C0E">
      <w:rPr>
        <w:rFonts w:ascii="Titillium" w:hAnsi="Titillium" w:cs="Times New Roman"/>
        <w:b/>
        <w:sz w:val="20"/>
        <w:szCs w:val="20"/>
      </w:rPr>
      <w:t>294</w:t>
    </w:r>
    <w:r w:rsidRPr="000F2C0E">
      <w:rPr>
        <w:rFonts w:ascii="Titillium" w:hAnsi="Titillium" w:cs="Times New Roman"/>
        <w:b/>
        <w:sz w:val="20"/>
        <w:szCs w:val="20"/>
      </w:rPr>
      <w:t>/</w:t>
    </w:r>
    <w:r w:rsidR="009C05D1" w:rsidRPr="000F2C0E">
      <w:rPr>
        <w:rFonts w:ascii="Titillium" w:hAnsi="Titillium" w:cs="Times New Roman"/>
        <w:b/>
        <w:sz w:val="20"/>
        <w:szCs w:val="20"/>
      </w:rPr>
      <w:t>202</w:t>
    </w:r>
    <w:r w:rsidR="00040F20" w:rsidRPr="000F2C0E">
      <w:rPr>
        <w:rFonts w:ascii="Titillium" w:hAnsi="Titillium" w:cs="Times New Roman"/>
        <w:b/>
        <w:sz w:val="20"/>
        <w:szCs w:val="20"/>
      </w:rPr>
      <w:t>1</w:t>
    </w:r>
  </w:p>
  <w:p w14:paraId="46285507" w14:textId="77777777" w:rsidR="0085206C" w:rsidRDefault="0085206C" w:rsidP="006E496C">
    <w:pPr>
      <w:pStyle w:val="Intestazione"/>
      <w:jc w:val="right"/>
      <w:rPr>
        <w:rFonts w:ascii="Garamond" w:hAnsi="Garamond" w:cs="Times New Roman"/>
        <w:b/>
      </w:rPr>
    </w:pPr>
  </w:p>
  <w:p w14:paraId="1452D04D" w14:textId="77777777" w:rsidR="0085206C" w:rsidRPr="006E496C" w:rsidRDefault="0085206C" w:rsidP="006E496C">
    <w:pPr>
      <w:pStyle w:val="Intestazione"/>
      <w:jc w:val="right"/>
      <w:rPr>
        <w:rFonts w:ascii="Garamond" w:hAnsi="Garamond" w:cs="Times New Roman"/>
        <w:b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2B02D7"/>
    <w:multiLevelType w:val="multilevel"/>
    <w:tmpl w:val="5624384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1"/>
        </w:tabs>
        <w:ind w:left="2161" w:firstLine="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firstLine="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1"/>
        </w:tabs>
        <w:ind w:left="6481" w:firstLine="0"/>
      </w:pPr>
    </w:lvl>
  </w:abstractNum>
  <w:abstractNum w:abstractNumId="1" w15:restartNumberingAfterBreak="0">
    <w:nsid w:val="3E981BA1"/>
    <w:multiLevelType w:val="multilevel"/>
    <w:tmpl w:val="42B6B57E"/>
    <w:lvl w:ilvl="0">
      <w:start w:val="1"/>
      <w:numFmt w:val="none"/>
      <w:pStyle w:val="Titolo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 w15:restartNumberingAfterBreak="0">
    <w:nsid w:val="54743015"/>
    <w:multiLevelType w:val="multilevel"/>
    <w:tmpl w:val="95685400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7B274FF9"/>
    <w:multiLevelType w:val="hybridMultilevel"/>
    <w:tmpl w:val="4CD022FC"/>
    <w:lvl w:ilvl="0" w:tplc="77CA1D2A">
      <w:start w:val="3"/>
      <w:numFmt w:val="bullet"/>
      <w:lvlText w:val="-"/>
      <w:lvlJc w:val="left"/>
      <w:pPr>
        <w:ind w:left="720" w:hanging="360"/>
      </w:pPr>
      <w:rPr>
        <w:rFonts w:ascii="Garamond" w:eastAsia="Times New Roman" w:hAnsi="Garamond" w:cs="Cambri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7B23"/>
    <w:rsid w:val="00040F20"/>
    <w:rsid w:val="000F2C0E"/>
    <w:rsid w:val="00141BA1"/>
    <w:rsid w:val="0016468A"/>
    <w:rsid w:val="0024134D"/>
    <w:rsid w:val="002C572E"/>
    <w:rsid w:val="0036711F"/>
    <w:rsid w:val="003D4260"/>
    <w:rsid w:val="003E1CF5"/>
    <w:rsid w:val="0041405A"/>
    <w:rsid w:val="00416AD0"/>
    <w:rsid w:val="00421D8C"/>
    <w:rsid w:val="0048249A"/>
    <w:rsid w:val="004833D5"/>
    <w:rsid w:val="004F18CD"/>
    <w:rsid w:val="005172B8"/>
    <w:rsid w:val="0060106A"/>
    <w:rsid w:val="006E496C"/>
    <w:rsid w:val="007052EA"/>
    <w:rsid w:val="00713BFD"/>
    <w:rsid w:val="007A107C"/>
    <w:rsid w:val="00837860"/>
    <w:rsid w:val="0085206C"/>
    <w:rsid w:val="00861FE1"/>
    <w:rsid w:val="008A0378"/>
    <w:rsid w:val="00930BC7"/>
    <w:rsid w:val="00955140"/>
    <w:rsid w:val="009A5646"/>
    <w:rsid w:val="009B2DF6"/>
    <w:rsid w:val="009C05D1"/>
    <w:rsid w:val="009C6FAC"/>
    <w:rsid w:val="00A52DF7"/>
    <w:rsid w:val="00AB1A20"/>
    <w:rsid w:val="00AF790D"/>
    <w:rsid w:val="00B779BE"/>
    <w:rsid w:val="00BA1FF9"/>
    <w:rsid w:val="00BE0E55"/>
    <w:rsid w:val="00C27B23"/>
    <w:rsid w:val="00C32BE7"/>
    <w:rsid w:val="00D27496"/>
    <w:rsid w:val="00E855D4"/>
    <w:rsid w:val="00F17BBA"/>
    <w:rsid w:val="00F901B7"/>
    <w:rsid w:val="00FC7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777332"/>
  <w15:docId w15:val="{56CB1834-868F-432B-9D79-8EB178F1D0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pPr>
      <w:keepNext/>
      <w:widowControl w:val="0"/>
      <w:pBdr>
        <w:top w:val="nil"/>
        <w:left w:val="nil"/>
        <w:bottom w:val="nil"/>
        <w:right w:val="nil"/>
      </w:pBdr>
      <w:suppressAutoHyphens/>
      <w:spacing w:after="120" w:line="100" w:lineRule="atLeast"/>
      <w:jc w:val="both"/>
    </w:pPr>
    <w:rPr>
      <w:rFonts w:ascii="Times New Roman" w:eastAsia="Times New Roman" w:hAnsi="Times New Roman" w:cs="Cambria"/>
      <w:sz w:val="24"/>
      <w:szCs w:val="24"/>
      <w:lang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Rimandonotaapidipagina">
    <w:name w:val="footnote reference"/>
    <w:basedOn w:val="Carpredefinitoparagrafo"/>
    <w:rPr>
      <w:position w:val="22"/>
      <w:sz w:val="14"/>
    </w:rPr>
  </w:style>
  <w:style w:type="character" w:customStyle="1" w:styleId="TestonotaapidipaginaCarattere">
    <w:name w:val="Testo nota a piè di pagina Carattere"/>
    <w:basedOn w:val="Carpredefinitoparagrafo"/>
    <w:rPr>
      <w:rFonts w:ascii="Times New Roman" w:eastAsia="Times New Roman" w:hAnsi="Times New Roman" w:cs="Cambria"/>
      <w:sz w:val="20"/>
      <w:szCs w:val="20"/>
      <w:lang w:eastAsia="ar-SA"/>
    </w:rPr>
  </w:style>
  <w:style w:type="character" w:customStyle="1" w:styleId="TestonotaapidipaginaCarattere1">
    <w:name w:val="Testo nota a piè di pagina Carattere1"/>
    <w:basedOn w:val="Carpredefinitoparagrafo"/>
    <w:rPr>
      <w:rFonts w:ascii="Times New Roman" w:eastAsia="Times New Roman" w:hAnsi="Times New Roman" w:cs="Cambria"/>
      <w:sz w:val="24"/>
      <w:szCs w:val="24"/>
      <w:lang w:eastAsia="ar-SA"/>
    </w:rPr>
  </w:style>
  <w:style w:type="character" w:customStyle="1" w:styleId="TitoloCarattere">
    <w:name w:val="Titolo Carattere"/>
    <w:basedOn w:val="Carpredefinitoparagrafo"/>
    <w:rPr>
      <w:rFonts w:ascii="Times New Roman" w:eastAsia="Times New Roman" w:hAnsi="Times New Roman" w:cs="Times New Roman"/>
      <w:b/>
      <w:bCs/>
      <w:i/>
      <w:sz w:val="36"/>
      <w:szCs w:val="32"/>
      <w:lang w:eastAsia="ar-SA"/>
    </w:rPr>
  </w:style>
  <w:style w:type="character" w:customStyle="1" w:styleId="IntestazioneCarattere">
    <w:name w:val="Intestazione Carattere"/>
    <w:basedOn w:val="Carpredefinitoparagrafo"/>
    <w:rPr>
      <w:rFonts w:ascii="Times New Roman" w:eastAsia="Times New Roman" w:hAnsi="Times New Roman" w:cs="Cambria"/>
      <w:sz w:val="24"/>
      <w:szCs w:val="24"/>
      <w:lang w:eastAsia="ar-SA"/>
    </w:rPr>
  </w:style>
  <w:style w:type="character" w:customStyle="1" w:styleId="PidipaginaCarattere">
    <w:name w:val="Piè di pagina Carattere"/>
    <w:basedOn w:val="Carpredefinitoparagrafo"/>
    <w:rPr>
      <w:rFonts w:ascii="Times New Roman" w:eastAsia="Times New Roman" w:hAnsi="Times New Roman" w:cs="Cambria"/>
      <w:sz w:val="24"/>
      <w:szCs w:val="24"/>
      <w:lang w:eastAsia="ar-SA"/>
    </w:rPr>
  </w:style>
  <w:style w:type="character" w:styleId="Rimandocommento">
    <w:name w:val="annotation reference"/>
    <w:basedOn w:val="Carpredefinitoparagrafo"/>
    <w:rPr>
      <w:sz w:val="16"/>
      <w:szCs w:val="16"/>
    </w:rPr>
  </w:style>
  <w:style w:type="character" w:customStyle="1" w:styleId="TestocommentoCarattere">
    <w:name w:val="Testo commento Carattere"/>
    <w:basedOn w:val="Carpredefinitoparagrafo"/>
    <w:rPr>
      <w:rFonts w:ascii="Times New Roman" w:eastAsia="Times New Roman" w:hAnsi="Times New Roman" w:cs="Cambria"/>
      <w:sz w:val="20"/>
      <w:szCs w:val="20"/>
      <w:lang w:eastAsia="ar-SA"/>
    </w:rPr>
  </w:style>
  <w:style w:type="character" w:customStyle="1" w:styleId="SoggettocommentoCarattere">
    <w:name w:val="Soggetto commento Carattere"/>
    <w:basedOn w:val="TestocommentoCarattere"/>
    <w:rPr>
      <w:rFonts w:ascii="Times New Roman" w:eastAsia="Times New Roman" w:hAnsi="Times New Roman" w:cs="Cambria"/>
      <w:b/>
      <w:bCs/>
      <w:sz w:val="20"/>
      <w:szCs w:val="20"/>
      <w:lang w:eastAsia="ar-SA"/>
    </w:rPr>
  </w:style>
  <w:style w:type="character" w:customStyle="1" w:styleId="TestofumettoCarattere">
    <w:name w:val="Testo fumetto Carattere"/>
    <w:basedOn w:val="Carpredefinitoparagrafo"/>
    <w:rPr>
      <w:rFonts w:ascii="Tahoma" w:eastAsia="Times New Roman" w:hAnsi="Tahoma" w:cs="Tahoma"/>
      <w:sz w:val="16"/>
      <w:szCs w:val="16"/>
      <w:lang w:eastAsia="ar-SA"/>
    </w:rPr>
  </w:style>
  <w:style w:type="character" w:customStyle="1" w:styleId="WWCharLFO13LVL1">
    <w:name w:val="WW_CharLFO13LVL1"/>
    <w:rPr>
      <w:rFonts w:ascii="Times New Roman" w:eastAsia="Times New Roman" w:hAnsi="Times New Roman" w:cs="Times New Roman"/>
    </w:rPr>
  </w:style>
  <w:style w:type="character" w:customStyle="1" w:styleId="WWCharLFO13LVL2">
    <w:name w:val="WW_CharLFO13LVL2"/>
    <w:rPr>
      <w:rFonts w:ascii="Courier New" w:hAnsi="Courier New" w:cs="Courier New"/>
    </w:rPr>
  </w:style>
  <w:style w:type="character" w:customStyle="1" w:styleId="WWCharLFO13LVL3">
    <w:name w:val="WW_CharLFO13LVL3"/>
    <w:rPr>
      <w:rFonts w:ascii="Wingdings" w:hAnsi="Wingdings"/>
    </w:rPr>
  </w:style>
  <w:style w:type="character" w:customStyle="1" w:styleId="WWCharLFO13LVL4">
    <w:name w:val="WW_CharLFO13LVL4"/>
    <w:rPr>
      <w:rFonts w:ascii="Symbol" w:hAnsi="Symbol"/>
    </w:rPr>
  </w:style>
  <w:style w:type="character" w:customStyle="1" w:styleId="WWCharLFO13LVL5">
    <w:name w:val="WW_CharLFO13LVL5"/>
    <w:rPr>
      <w:rFonts w:ascii="Courier New" w:hAnsi="Courier New" w:cs="Courier New"/>
    </w:rPr>
  </w:style>
  <w:style w:type="character" w:customStyle="1" w:styleId="WWCharLFO13LVL6">
    <w:name w:val="WW_CharLFO13LVL6"/>
    <w:rPr>
      <w:rFonts w:ascii="Wingdings" w:hAnsi="Wingdings"/>
    </w:rPr>
  </w:style>
  <w:style w:type="character" w:customStyle="1" w:styleId="WWCharLFO13LVL7">
    <w:name w:val="WW_CharLFO13LVL7"/>
    <w:rPr>
      <w:rFonts w:ascii="Symbol" w:hAnsi="Symbol"/>
    </w:rPr>
  </w:style>
  <w:style w:type="character" w:customStyle="1" w:styleId="WWCharLFO13LVL8">
    <w:name w:val="WW_CharLFO13LVL8"/>
    <w:rPr>
      <w:rFonts w:ascii="Courier New" w:hAnsi="Courier New" w:cs="Courier New"/>
    </w:rPr>
  </w:style>
  <w:style w:type="character" w:customStyle="1" w:styleId="WWCharLFO13LVL9">
    <w:name w:val="WW_CharLFO13LVL9"/>
    <w:rPr>
      <w:rFonts w:ascii="Wingdings" w:hAnsi="Wingdings"/>
    </w:rPr>
  </w:style>
  <w:style w:type="character" w:customStyle="1" w:styleId="WWCharLFO15LVL1">
    <w:name w:val="WW_CharLFO15LVL1"/>
    <w:rPr>
      <w:rFonts w:ascii="Times New Roman" w:eastAsia="Calibri" w:hAnsi="Times New Roman" w:cs="Times New Roman"/>
      <w:sz w:val="20"/>
    </w:rPr>
  </w:style>
  <w:style w:type="character" w:customStyle="1" w:styleId="WWCharLFO15LVL2">
    <w:name w:val="WW_CharLFO15LVL2"/>
    <w:rPr>
      <w:rFonts w:ascii="Courier New" w:hAnsi="Courier New" w:cs="Courier New"/>
    </w:rPr>
  </w:style>
  <w:style w:type="character" w:customStyle="1" w:styleId="WWCharLFO15LVL3">
    <w:name w:val="WW_CharLFO15LVL3"/>
    <w:rPr>
      <w:rFonts w:ascii="Wingdings" w:hAnsi="Wingdings"/>
    </w:rPr>
  </w:style>
  <w:style w:type="character" w:customStyle="1" w:styleId="WWCharLFO15LVL4">
    <w:name w:val="WW_CharLFO15LVL4"/>
    <w:rPr>
      <w:rFonts w:ascii="Symbol" w:hAnsi="Symbol"/>
    </w:rPr>
  </w:style>
  <w:style w:type="character" w:customStyle="1" w:styleId="WWCharLFO15LVL5">
    <w:name w:val="WW_CharLFO15LVL5"/>
    <w:rPr>
      <w:rFonts w:ascii="Courier New" w:hAnsi="Courier New" w:cs="Courier New"/>
    </w:rPr>
  </w:style>
  <w:style w:type="character" w:customStyle="1" w:styleId="WWCharLFO15LVL6">
    <w:name w:val="WW_CharLFO15LVL6"/>
    <w:rPr>
      <w:rFonts w:ascii="Wingdings" w:hAnsi="Wingdings"/>
    </w:rPr>
  </w:style>
  <w:style w:type="character" w:customStyle="1" w:styleId="WWCharLFO15LVL7">
    <w:name w:val="WW_CharLFO15LVL7"/>
    <w:rPr>
      <w:rFonts w:ascii="Symbol" w:hAnsi="Symbol"/>
    </w:rPr>
  </w:style>
  <w:style w:type="character" w:customStyle="1" w:styleId="WWCharLFO15LVL8">
    <w:name w:val="WW_CharLFO15LVL8"/>
    <w:rPr>
      <w:rFonts w:ascii="Courier New" w:hAnsi="Courier New" w:cs="Courier New"/>
    </w:rPr>
  </w:style>
  <w:style w:type="character" w:customStyle="1" w:styleId="WWCharLFO15LVL9">
    <w:name w:val="WW_CharLFO15LVL9"/>
    <w:rPr>
      <w:rFonts w:ascii="Wingdings" w:hAnsi="Wingdings"/>
    </w:rPr>
  </w:style>
  <w:style w:type="character" w:customStyle="1" w:styleId="Caratteredellanota">
    <w:name w:val="Carattere della nota"/>
  </w:style>
  <w:style w:type="paragraph" w:styleId="Testonotaapidipagina">
    <w:name w:val="footnote text"/>
    <w:basedOn w:val="Normale"/>
  </w:style>
  <w:style w:type="paragraph" w:styleId="Paragrafoelenco">
    <w:name w:val="List Paragraph"/>
    <w:basedOn w:val="Normale"/>
    <w:pPr>
      <w:ind w:left="357" w:hanging="357"/>
    </w:pPr>
  </w:style>
  <w:style w:type="paragraph" w:styleId="Titolo">
    <w:name w:val="Title"/>
    <w:basedOn w:val="Normale"/>
    <w:next w:val="Normale"/>
    <w:autoRedefine/>
    <w:pPr>
      <w:numPr>
        <w:numId w:val="1"/>
      </w:numPr>
      <w:spacing w:before="240" w:after="240"/>
      <w:jc w:val="center"/>
      <w:outlineLvl w:val="0"/>
    </w:pPr>
    <w:rPr>
      <w:rFonts w:cs="Times New Roman"/>
      <w:b/>
      <w:bCs/>
      <w:i/>
      <w:sz w:val="36"/>
      <w:szCs w:val="32"/>
    </w:rPr>
  </w:style>
  <w:style w:type="paragraph" w:customStyle="1" w:styleId="Corpodeltesto">
    <w:name w:val="Corpo del testo"/>
    <w:basedOn w:val="Normale"/>
  </w:style>
  <w:style w:type="paragraph" w:styleId="Intestazione">
    <w:name w:val="header"/>
    <w:basedOn w:val="Normale"/>
    <w:pPr>
      <w:tabs>
        <w:tab w:val="center" w:pos="4819"/>
        <w:tab w:val="right" w:pos="9638"/>
      </w:tabs>
      <w:spacing w:after="0"/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  <w:spacing w:after="0"/>
    </w:pPr>
  </w:style>
  <w:style w:type="paragraph" w:customStyle="1" w:styleId="Default">
    <w:name w:val="Default"/>
    <w:pPr>
      <w:keepNext/>
      <w:pBdr>
        <w:top w:val="nil"/>
        <w:left w:val="nil"/>
        <w:bottom w:val="nil"/>
        <w:right w:val="nil"/>
      </w:pBdr>
      <w:suppressAutoHyphens/>
      <w:autoSpaceDE w:val="0"/>
      <w:spacing w:after="0" w:line="100" w:lineRule="atLeast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paragraph" w:styleId="Testocommento">
    <w:name w:val="annotation text"/>
    <w:basedOn w:val="Normale"/>
    <w:rPr>
      <w:sz w:val="20"/>
      <w:szCs w:val="20"/>
    </w:rPr>
  </w:style>
  <w:style w:type="paragraph" w:styleId="Soggettocommento">
    <w:name w:val="annotation subject"/>
    <w:basedOn w:val="Testocommento"/>
    <w:next w:val="Testocommento"/>
    <w:rPr>
      <w:b/>
      <w:bCs/>
    </w:rPr>
  </w:style>
  <w:style w:type="paragraph" w:styleId="Testofumetto">
    <w:name w:val="Balloon Text"/>
    <w:basedOn w:val="Normale"/>
    <w:pPr>
      <w:spacing w:after="0"/>
    </w:pPr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205</Words>
  <Characters>1170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i.siciliani</dc:creator>
  <cp:lastModifiedBy>massimo manenti</cp:lastModifiedBy>
  <cp:revision>7</cp:revision>
  <cp:lastPrinted>2018-02-28T15:30:00Z</cp:lastPrinted>
  <dcterms:created xsi:type="dcterms:W3CDTF">2021-06-06T09:27:00Z</dcterms:created>
  <dcterms:modified xsi:type="dcterms:W3CDTF">2021-06-13T05:32:00Z</dcterms:modified>
</cp:coreProperties>
</file>